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50A3E" w14:textId="4F261D14" w:rsidR="000E4553" w:rsidRPr="00D629D8" w:rsidRDefault="0099158C" w:rsidP="00E80349">
      <w:pPr>
        <w:pStyle w:val="ATAModuleTitle"/>
        <w:rPr>
          <w:rFonts w:asciiTheme="majorHAnsi" w:hAnsiTheme="majorHAnsi"/>
          <w:b w:val="0"/>
          <w:bCs/>
          <w:sz w:val="27"/>
          <w:szCs w:val="27"/>
        </w:rPr>
      </w:pPr>
      <w:bookmarkStart w:id="0" w:name="_GoBack"/>
      <w:r>
        <w:rPr>
          <w:noProof/>
        </w:rPr>
        <w:drawing>
          <wp:anchor distT="0" distB="0" distL="114300" distR="114300" simplePos="0" relativeHeight="251658240" behindDoc="0" locked="0" layoutInCell="1" allowOverlap="1" wp14:anchorId="27EE9B05" wp14:editId="04366182">
            <wp:simplePos x="0" y="0"/>
            <wp:positionH relativeFrom="column">
              <wp:posOffset>5189855</wp:posOffset>
            </wp:positionH>
            <wp:positionV relativeFrom="paragraph">
              <wp:posOffset>-635</wp:posOffset>
            </wp:positionV>
            <wp:extent cx="271780" cy="2743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2B45C6" w:rsidRPr="002B45C6">
        <w:rPr>
          <w:rFonts w:asciiTheme="majorHAnsi" w:hAnsiTheme="majorHAnsi"/>
          <w:b w:val="0"/>
          <w:bCs/>
          <w:sz w:val="27"/>
          <w:szCs w:val="27"/>
          <w:lang w:bidi="ar-SA"/>
        </w:rPr>
        <w:t>راجع النشرة</w:t>
      </w:r>
      <w:r w:rsidR="002B45C6" w:rsidRPr="002B45C6">
        <w:rPr>
          <w:rFonts w:asciiTheme="majorHAnsi" w:hAnsiTheme="majorHAnsi"/>
          <w:bCs/>
          <w:sz w:val="27"/>
          <w:szCs w:val="27"/>
        </w:rPr>
        <w:t xml:space="preserve"> </w:t>
      </w:r>
      <w:r w:rsidR="006B2C72" w:rsidRPr="00D629D8">
        <w:rPr>
          <w:rFonts w:asciiTheme="majorHAnsi" w:hAnsiTheme="majorHAnsi"/>
          <w:b w:val="0"/>
          <w:bCs/>
          <w:sz w:val="27"/>
          <w:szCs w:val="27"/>
        </w:rPr>
        <w:t>15.1: نشاط سيناريو تحليل الفجوة</w:t>
      </w:r>
    </w:p>
    <w:tbl>
      <w:tblPr>
        <w:bidiVisual/>
        <w:tblW w:w="4999" w:type="pct"/>
        <w:tblCellMar>
          <w:left w:w="0" w:type="dxa"/>
          <w:right w:w="0" w:type="dxa"/>
        </w:tblCellMar>
        <w:tblLook w:val="04A0" w:firstRow="1" w:lastRow="0" w:firstColumn="1" w:lastColumn="0" w:noHBand="0" w:noVBand="1"/>
      </w:tblPr>
      <w:tblGrid>
        <w:gridCol w:w="2590"/>
        <w:gridCol w:w="6048"/>
      </w:tblGrid>
      <w:tr w:rsidR="000E4553" w:rsidRPr="00D629D8" w14:paraId="34896DD8" w14:textId="77777777" w:rsidTr="000E4553">
        <w:trPr>
          <w:cantSplit/>
        </w:trPr>
        <w:tc>
          <w:tcPr>
            <w:tcW w:w="1499" w:type="pct"/>
          </w:tcPr>
          <w:p w14:paraId="16F6DBA5" w14:textId="77777777" w:rsidR="000E4553" w:rsidRPr="00D629D8" w:rsidRDefault="000E4553" w:rsidP="00C52CC1">
            <w:pPr>
              <w:pStyle w:val="ATABody"/>
              <w:rPr>
                <w:b/>
                <w:noProof/>
                <w:sz w:val="27"/>
                <w:szCs w:val="27"/>
              </w:rPr>
            </w:pPr>
            <w:r w:rsidRPr="00D629D8">
              <w:rPr>
                <w:rFonts w:asciiTheme="majorHAnsi" w:hAnsiTheme="majorHAnsi"/>
                <w:b/>
                <w:bCs/>
                <w:sz w:val="27"/>
                <w:szCs w:val="27"/>
              </w:rPr>
              <w:t>الغرض:</w:t>
            </w:r>
          </w:p>
        </w:tc>
        <w:tc>
          <w:tcPr>
            <w:tcW w:w="3501" w:type="pct"/>
          </w:tcPr>
          <w:p w14:paraId="17550ABB" w14:textId="3D322988" w:rsidR="000E4553" w:rsidRPr="00D629D8" w:rsidRDefault="000E4553" w:rsidP="00B253C4">
            <w:pPr>
              <w:pStyle w:val="ATABody"/>
              <w:rPr>
                <w:sz w:val="27"/>
                <w:szCs w:val="27"/>
              </w:rPr>
            </w:pPr>
            <w:r w:rsidRPr="00D629D8">
              <w:rPr>
                <w:sz w:val="27"/>
                <w:szCs w:val="27"/>
              </w:rPr>
              <w:t xml:space="preserve">للتعرف على خطوات تحليل الفجوة في سيناريو معين: </w:t>
            </w:r>
          </w:p>
        </w:tc>
      </w:tr>
      <w:tr w:rsidR="000E4553" w:rsidRPr="00D629D8" w14:paraId="1B261E89" w14:textId="77777777" w:rsidTr="000E4553">
        <w:trPr>
          <w:cantSplit/>
        </w:trPr>
        <w:tc>
          <w:tcPr>
            <w:tcW w:w="1499" w:type="pct"/>
          </w:tcPr>
          <w:p w14:paraId="1747BD01" w14:textId="77777777" w:rsidR="000E4553" w:rsidRPr="00D629D8" w:rsidRDefault="000E4553" w:rsidP="00C52CC1">
            <w:pPr>
              <w:pStyle w:val="ATABody"/>
              <w:rPr>
                <w:b/>
                <w:noProof/>
                <w:sz w:val="27"/>
                <w:szCs w:val="27"/>
              </w:rPr>
            </w:pPr>
            <w:r w:rsidRPr="00D629D8">
              <w:rPr>
                <w:rFonts w:asciiTheme="majorHAnsi" w:hAnsiTheme="majorHAnsi"/>
                <w:b/>
                <w:bCs/>
                <w:sz w:val="27"/>
                <w:szCs w:val="27"/>
              </w:rPr>
              <w:t>المدة:</w:t>
            </w:r>
          </w:p>
        </w:tc>
        <w:tc>
          <w:tcPr>
            <w:tcW w:w="3501" w:type="pct"/>
          </w:tcPr>
          <w:p w14:paraId="362A986B" w14:textId="7C6EE70E" w:rsidR="000E4553" w:rsidRPr="00D629D8" w:rsidRDefault="00E0169E" w:rsidP="00D629D8">
            <w:pPr>
              <w:pStyle w:val="ATABody"/>
              <w:rPr>
                <w:sz w:val="27"/>
                <w:szCs w:val="27"/>
              </w:rPr>
            </w:pPr>
            <w:r w:rsidRPr="00D629D8">
              <w:rPr>
                <w:sz w:val="27"/>
                <w:szCs w:val="27"/>
              </w:rPr>
              <w:t xml:space="preserve">40 دقيقة (30 دقيقة للنشاط؛ </w:t>
            </w:r>
            <w:r w:rsidR="00D629D8">
              <w:rPr>
                <w:sz w:val="27"/>
                <w:szCs w:val="27"/>
                <w:rtl w:val="0"/>
              </w:rPr>
              <w:t>10</w:t>
            </w:r>
            <w:r w:rsidRPr="00D629D8">
              <w:rPr>
                <w:sz w:val="27"/>
                <w:szCs w:val="27"/>
              </w:rPr>
              <w:t xml:space="preserve"> دقائق للنقاش)</w:t>
            </w:r>
          </w:p>
        </w:tc>
      </w:tr>
      <w:tr w:rsidR="000E4553" w:rsidRPr="00D629D8" w14:paraId="56FFEB7F" w14:textId="77777777" w:rsidTr="000E4553">
        <w:trPr>
          <w:cantSplit/>
        </w:trPr>
        <w:tc>
          <w:tcPr>
            <w:tcW w:w="1499" w:type="pct"/>
          </w:tcPr>
          <w:p w14:paraId="206E2332" w14:textId="77777777" w:rsidR="000E4553" w:rsidRPr="00D629D8" w:rsidRDefault="000E4553" w:rsidP="00C52CC1">
            <w:pPr>
              <w:pStyle w:val="ATABody"/>
              <w:rPr>
                <w:b/>
                <w:noProof/>
                <w:sz w:val="27"/>
                <w:szCs w:val="27"/>
              </w:rPr>
            </w:pPr>
            <w:r w:rsidRPr="00D629D8">
              <w:rPr>
                <w:rFonts w:asciiTheme="majorHAnsi" w:hAnsiTheme="majorHAnsi"/>
                <w:b/>
                <w:bCs/>
                <w:sz w:val="27"/>
                <w:szCs w:val="27"/>
              </w:rPr>
              <w:t>تشكيل المجموعة:</w:t>
            </w:r>
          </w:p>
        </w:tc>
        <w:tc>
          <w:tcPr>
            <w:tcW w:w="3501" w:type="pct"/>
          </w:tcPr>
          <w:p w14:paraId="3C48FC32" w14:textId="56181B53" w:rsidR="000E4553" w:rsidRPr="00D629D8" w:rsidRDefault="00E0169E" w:rsidP="00B253C4">
            <w:pPr>
              <w:pStyle w:val="ATABody"/>
              <w:rPr>
                <w:sz w:val="27"/>
                <w:szCs w:val="27"/>
              </w:rPr>
            </w:pPr>
            <w:r w:rsidRPr="00D629D8">
              <w:rPr>
                <w:sz w:val="27"/>
                <w:szCs w:val="27"/>
              </w:rPr>
              <w:t>مجموعات الطاولة</w:t>
            </w:r>
          </w:p>
        </w:tc>
      </w:tr>
      <w:tr w:rsidR="000E4553" w:rsidRPr="00D629D8" w14:paraId="35EFCBE6" w14:textId="77777777" w:rsidTr="000E4553">
        <w:trPr>
          <w:cantSplit/>
        </w:trPr>
        <w:tc>
          <w:tcPr>
            <w:tcW w:w="1499" w:type="pct"/>
          </w:tcPr>
          <w:p w14:paraId="32FA3F1B" w14:textId="77777777" w:rsidR="000E4553" w:rsidRPr="00D629D8" w:rsidRDefault="000E4553" w:rsidP="00C52CC1">
            <w:pPr>
              <w:pStyle w:val="ATABody"/>
              <w:rPr>
                <w:b/>
                <w:noProof/>
                <w:sz w:val="27"/>
                <w:szCs w:val="27"/>
              </w:rPr>
            </w:pPr>
            <w:r w:rsidRPr="00D629D8">
              <w:rPr>
                <w:rFonts w:asciiTheme="majorHAnsi" w:hAnsiTheme="majorHAnsi"/>
                <w:b/>
                <w:bCs/>
                <w:sz w:val="27"/>
                <w:szCs w:val="27"/>
              </w:rPr>
              <w:t>استخلاص المعلومات:</w:t>
            </w:r>
          </w:p>
        </w:tc>
        <w:tc>
          <w:tcPr>
            <w:tcW w:w="3501" w:type="pct"/>
          </w:tcPr>
          <w:p w14:paraId="4553ABBA" w14:textId="77777777" w:rsidR="000E4553" w:rsidRPr="00D629D8" w:rsidRDefault="000E4553" w:rsidP="00B253C4">
            <w:pPr>
              <w:pStyle w:val="ATABody"/>
              <w:rPr>
                <w:sz w:val="27"/>
                <w:szCs w:val="27"/>
              </w:rPr>
            </w:pPr>
            <w:r w:rsidRPr="00D629D8">
              <w:rPr>
                <w:sz w:val="27"/>
                <w:szCs w:val="27"/>
              </w:rPr>
              <w:t>مناقشة في إطار مجموعة كبيرة</w:t>
            </w:r>
          </w:p>
        </w:tc>
      </w:tr>
    </w:tbl>
    <w:p w14:paraId="4B6DFB6A" w14:textId="77777777" w:rsidR="000E4553" w:rsidRPr="00D629D8" w:rsidRDefault="000E4553" w:rsidP="00B253C4">
      <w:pPr>
        <w:pStyle w:val="ATAHeadingLevel1"/>
        <w:rPr>
          <w:b w:val="0"/>
          <w:bCs/>
          <w:sz w:val="27"/>
          <w:szCs w:val="27"/>
        </w:rPr>
      </w:pPr>
      <w:r w:rsidRPr="00D629D8">
        <w:rPr>
          <w:b w:val="0"/>
          <w:bCs/>
          <w:sz w:val="27"/>
          <w:szCs w:val="27"/>
        </w:rPr>
        <w:t>التوجيهات</w:t>
      </w:r>
    </w:p>
    <w:p w14:paraId="5552E893" w14:textId="160FD893" w:rsidR="000E4553" w:rsidRPr="00D629D8" w:rsidRDefault="000E4553" w:rsidP="00B253C4">
      <w:pPr>
        <w:pStyle w:val="ATANumLevel01BodySlide"/>
        <w:rPr>
          <w:sz w:val="27"/>
          <w:szCs w:val="27"/>
        </w:rPr>
      </w:pPr>
      <w:r w:rsidRPr="00D629D8">
        <w:rPr>
          <w:sz w:val="27"/>
          <w:szCs w:val="27"/>
        </w:rPr>
        <w:t>برجاء قراءة سيناريو أجهزة الاستشعار المثبتة بالسياج مع الفريق.</w:t>
      </w:r>
    </w:p>
    <w:p w14:paraId="68B12BC9" w14:textId="689FE690" w:rsidR="000E4553" w:rsidRPr="00D629D8" w:rsidRDefault="000E4553" w:rsidP="00B253C4">
      <w:pPr>
        <w:pStyle w:val="ATANumLevel01BodySlide"/>
        <w:rPr>
          <w:sz w:val="27"/>
          <w:szCs w:val="27"/>
        </w:rPr>
      </w:pPr>
      <w:r w:rsidRPr="00D629D8">
        <w:rPr>
          <w:sz w:val="27"/>
          <w:szCs w:val="27"/>
        </w:rPr>
        <w:t>ناقش الأسئلة في إطار المجموعة مع تسجيل إجابات المشاركين في المساحات المخصصة لذلك بعد الخيار 3.</w:t>
      </w:r>
    </w:p>
    <w:p w14:paraId="60B22549" w14:textId="77777777" w:rsidR="00FD45C3" w:rsidRPr="00D629D8" w:rsidRDefault="00FD45C3" w:rsidP="00FD45C3">
      <w:pPr>
        <w:pStyle w:val="ATANumLevel01BodySlide"/>
        <w:rPr>
          <w:sz w:val="27"/>
          <w:szCs w:val="27"/>
        </w:rPr>
      </w:pPr>
      <w:r w:rsidRPr="00D629D8">
        <w:rPr>
          <w:sz w:val="27"/>
          <w:szCs w:val="27"/>
        </w:rPr>
        <w:t>لديكم 30 دقيقة لإتمام هذا النشاط.</w:t>
      </w:r>
    </w:p>
    <w:p w14:paraId="6FE9BCCC" w14:textId="77A9F8D6" w:rsidR="000E4553" w:rsidRPr="00D629D8" w:rsidRDefault="000E4553" w:rsidP="00B253C4">
      <w:pPr>
        <w:pStyle w:val="ATANumLevel01BodySlide"/>
        <w:rPr>
          <w:sz w:val="27"/>
          <w:szCs w:val="27"/>
        </w:rPr>
      </w:pPr>
      <w:r w:rsidRPr="00D629D8">
        <w:rPr>
          <w:sz w:val="27"/>
          <w:szCs w:val="27"/>
        </w:rPr>
        <w:t>كن على إستعداد لمشاركة أجوبتك أمام بقية الفصل الدراسي.</w:t>
      </w:r>
    </w:p>
    <w:p w14:paraId="58AE66CE" w14:textId="0849BA52" w:rsidR="003C460F" w:rsidRPr="00D629D8" w:rsidRDefault="003C460F" w:rsidP="00B253C4">
      <w:pPr>
        <w:pStyle w:val="ATAHeadingLevel1"/>
        <w:rPr>
          <w:b w:val="0"/>
          <w:bCs/>
          <w:sz w:val="27"/>
          <w:szCs w:val="27"/>
        </w:rPr>
      </w:pPr>
      <w:r w:rsidRPr="00D629D8">
        <w:rPr>
          <w:b w:val="0"/>
          <w:bCs/>
          <w:sz w:val="27"/>
          <w:szCs w:val="27"/>
        </w:rPr>
        <w:t>إجراء تحليل الفجوة: أجهزة الإستشعار بالسياج</w:t>
      </w:r>
    </w:p>
    <w:p w14:paraId="35AAD7FC" w14:textId="6D6B2A71" w:rsidR="003C460F" w:rsidRPr="00D629D8" w:rsidRDefault="003C460F" w:rsidP="00B253C4">
      <w:pPr>
        <w:pStyle w:val="ATABody"/>
        <w:rPr>
          <w:sz w:val="27"/>
          <w:szCs w:val="27"/>
        </w:rPr>
      </w:pPr>
      <w:r w:rsidRPr="00D629D8">
        <w:rPr>
          <w:sz w:val="27"/>
          <w:szCs w:val="27"/>
        </w:rPr>
        <w:t xml:space="preserve">تطلب الإدارة تحليل الفجوة لضمان أن نظام الحماية المادية بالمنشأة الحيوية الحرجة يفي بكافة الإحتياجات الأمنية للمنظمة. وكجزء من هذا التحليل، قام الفريق بفحص السياج المحيط </w:t>
      </w:r>
      <w:r w:rsidR="00CA2EB8" w:rsidRPr="00D629D8">
        <w:rPr>
          <w:rFonts w:hint="cs"/>
          <w:sz w:val="27"/>
          <w:szCs w:val="27"/>
        </w:rPr>
        <w:t>بالمنشأة،</w:t>
      </w:r>
      <w:r w:rsidRPr="00D629D8">
        <w:rPr>
          <w:sz w:val="27"/>
          <w:szCs w:val="27"/>
        </w:rPr>
        <w:t xml:space="preserve"> الأمر الذي تطلب تركيب أجهزة الاستشعار لاكتشاف أي متسلل يتسلق فوق السور. وقام الفريق بتوثيق المعلوما الخاصة بالسياج في كل خطوة من الخطوات التالية من تحليل الفجوة.</w:t>
      </w:r>
    </w:p>
    <w:p w14:paraId="762CAEA4" w14:textId="0641528A" w:rsidR="003C460F" w:rsidRPr="00D629D8" w:rsidRDefault="003C460F" w:rsidP="00B253C4">
      <w:pPr>
        <w:pStyle w:val="ATAHeadingLevel2"/>
        <w:rPr>
          <w:b w:val="0"/>
          <w:bCs/>
          <w:sz w:val="27"/>
          <w:szCs w:val="27"/>
        </w:rPr>
      </w:pPr>
      <w:r w:rsidRPr="00D629D8">
        <w:rPr>
          <w:b w:val="0"/>
          <w:bCs/>
          <w:sz w:val="27"/>
          <w:szCs w:val="27"/>
        </w:rPr>
        <w:t>الخطوة 1: تحديد المتطلبات المعيارية المتوقعة</w:t>
      </w:r>
    </w:p>
    <w:p w14:paraId="2B34D073" w14:textId="4165D581" w:rsidR="003C460F" w:rsidRPr="00D629D8" w:rsidRDefault="003C460F" w:rsidP="00B253C4">
      <w:pPr>
        <w:pStyle w:val="ATABody"/>
        <w:rPr>
          <w:sz w:val="27"/>
          <w:szCs w:val="27"/>
        </w:rPr>
      </w:pPr>
      <w:r w:rsidRPr="00D629D8">
        <w:rPr>
          <w:sz w:val="27"/>
          <w:szCs w:val="27"/>
        </w:rPr>
        <w:t xml:space="preserve">بينما يتم تحديد المتطلبات المعيارية المتوقعة، وجد الفريق أن تصميم نظام الحماية المادية يحتاج أن كل قسم من السياج يجب أن يحتوي على أجهزة الاستشعار المناسبة بحيث تكون متباعدة على مسافات معينة بحيث تحقق التغطية الكاملة والرصد بغض النظر عن الموقع الذي سينتقيه المتسلل لتسلق السياج. وتتوقع الإدارة أن تشغيل الإنذار سيحدث في كل مرات التسلل </w:t>
      </w:r>
      <w:r w:rsidR="00CA2EB8" w:rsidRPr="00D629D8">
        <w:rPr>
          <w:rFonts w:hint="cs"/>
          <w:sz w:val="27"/>
          <w:szCs w:val="27"/>
        </w:rPr>
        <w:t>(100</w:t>
      </w:r>
      <w:r w:rsidRPr="00D629D8">
        <w:rPr>
          <w:sz w:val="27"/>
          <w:szCs w:val="27"/>
        </w:rPr>
        <w:t>% في جميع الأوقات)؛ بصرف النظر عن المكان الذي سيحاول فيه المتسلل اختراق السياج.</w:t>
      </w:r>
    </w:p>
    <w:p w14:paraId="242DA3D2" w14:textId="77777777" w:rsidR="003C460F" w:rsidRPr="00D629D8" w:rsidRDefault="003C460F" w:rsidP="00B253C4">
      <w:pPr>
        <w:pStyle w:val="ATAHeadingLevel2"/>
        <w:rPr>
          <w:b w:val="0"/>
          <w:bCs/>
          <w:sz w:val="27"/>
          <w:szCs w:val="27"/>
        </w:rPr>
      </w:pPr>
      <w:r w:rsidRPr="00D629D8">
        <w:rPr>
          <w:b w:val="0"/>
          <w:bCs/>
          <w:sz w:val="27"/>
          <w:szCs w:val="27"/>
        </w:rPr>
        <w:t>الخطوة 2: تقييم مستويات الأداء الحالي</w:t>
      </w:r>
    </w:p>
    <w:p w14:paraId="05F2732E" w14:textId="2E82E255" w:rsidR="003C460F" w:rsidRPr="00D629D8" w:rsidRDefault="003C460F" w:rsidP="00B253C4">
      <w:pPr>
        <w:pStyle w:val="ATABody"/>
        <w:rPr>
          <w:sz w:val="27"/>
          <w:szCs w:val="27"/>
        </w:rPr>
      </w:pPr>
      <w:r w:rsidRPr="00D629D8">
        <w:rPr>
          <w:sz w:val="27"/>
          <w:szCs w:val="27"/>
        </w:rPr>
        <w:t xml:space="preserve">أثناء فحص استراتيجيات الإختبار، قام الفريق بتوثيق الإختبارات الأسبوعية التي أجراها أعضاء الفريق الأمني على مختلف </w:t>
      </w:r>
      <w:r w:rsidR="00CA2EB8" w:rsidRPr="00D629D8">
        <w:rPr>
          <w:rFonts w:hint="cs"/>
          <w:sz w:val="27"/>
          <w:szCs w:val="27"/>
        </w:rPr>
        <w:t>قطاعات السياج</w:t>
      </w:r>
      <w:r w:rsidRPr="00D629D8">
        <w:rPr>
          <w:sz w:val="27"/>
          <w:szCs w:val="27"/>
        </w:rPr>
        <w:t xml:space="preserve"> عن طريق تسلق السياج في أماكن عشوائية لغرض الفحص. كما اكتشف الفريق ايضا أثناء محاولة القوة الأمنية تسلق السياج، أن قطاع من السياج (يمتد بطول حوالي 4 متر) لم يطلق إشارة الإنذار المطلوبة عند التسلل. </w:t>
      </w:r>
    </w:p>
    <w:p w14:paraId="41394E8E" w14:textId="77777777" w:rsidR="003C460F" w:rsidRPr="00D629D8" w:rsidRDefault="003C460F" w:rsidP="00C52CC1">
      <w:pPr>
        <w:pStyle w:val="ataBody0"/>
        <w:rPr>
          <w:sz w:val="27"/>
          <w:szCs w:val="27"/>
        </w:rPr>
      </w:pPr>
    </w:p>
    <w:p w14:paraId="4E8762D2" w14:textId="44222A47" w:rsidR="003C460F" w:rsidRPr="00D629D8" w:rsidRDefault="003C460F" w:rsidP="00B253C4">
      <w:pPr>
        <w:pStyle w:val="ATABody"/>
        <w:rPr>
          <w:sz w:val="27"/>
          <w:szCs w:val="27"/>
        </w:rPr>
      </w:pPr>
      <w:r w:rsidRPr="00D629D8">
        <w:rPr>
          <w:sz w:val="27"/>
          <w:szCs w:val="27"/>
        </w:rPr>
        <w:t>وحيث أن النظام القائم قد تعطل — فإن نظام الحماية المادية كما سبق أن وصفنا (في الخطوة 1) لم يعمل بالطريقة المتوقعة — يجب على الفريق أن يطرح أسئلة إضافية لتحديد المستوى الحالي للأداء. وقد طلب الفريق إجابات فورية على الأسئلة التالية:</w:t>
      </w:r>
    </w:p>
    <w:p w14:paraId="3AE6E5D6" w14:textId="77777777" w:rsidR="003C460F" w:rsidRPr="00D629D8" w:rsidRDefault="003C460F" w:rsidP="002A20FD">
      <w:pPr>
        <w:pStyle w:val="ATABulletLevel01BodySlide"/>
        <w:rPr>
          <w:b/>
          <w:bCs w:val="0"/>
          <w:sz w:val="27"/>
          <w:szCs w:val="27"/>
        </w:rPr>
      </w:pPr>
      <w:r w:rsidRPr="00D629D8">
        <w:rPr>
          <w:b/>
          <w:bCs w:val="0"/>
          <w:sz w:val="27"/>
          <w:szCs w:val="27"/>
        </w:rPr>
        <w:t>هل تصميم جهاز الإستشعار بالسياج يمنع الجهاز من العمل؟</w:t>
      </w:r>
    </w:p>
    <w:p w14:paraId="470C0A86" w14:textId="667AE782" w:rsidR="003C460F" w:rsidRPr="00D629D8" w:rsidRDefault="00604BAC" w:rsidP="002A20FD">
      <w:pPr>
        <w:pStyle w:val="ATABulletLevel01BodySlide"/>
        <w:rPr>
          <w:b/>
          <w:bCs w:val="0"/>
          <w:sz w:val="27"/>
          <w:szCs w:val="27"/>
        </w:rPr>
      </w:pPr>
      <w:r w:rsidRPr="00D629D8">
        <w:rPr>
          <w:b/>
          <w:bCs w:val="0"/>
          <w:sz w:val="27"/>
          <w:szCs w:val="27"/>
        </w:rPr>
        <w:t>هل قام المستخدم بتركيب جهاز الإستشعار بطريقة سليمة؟</w:t>
      </w:r>
    </w:p>
    <w:p w14:paraId="33FC90F8" w14:textId="77777777" w:rsidR="003C460F" w:rsidRPr="00D629D8" w:rsidRDefault="003C460F" w:rsidP="002A20FD">
      <w:pPr>
        <w:pStyle w:val="ATABulletLevel01BodySlide"/>
        <w:rPr>
          <w:b/>
          <w:bCs w:val="0"/>
          <w:sz w:val="27"/>
          <w:szCs w:val="27"/>
        </w:rPr>
      </w:pPr>
      <w:r w:rsidRPr="00D629D8">
        <w:rPr>
          <w:b/>
          <w:bCs w:val="0"/>
          <w:sz w:val="27"/>
          <w:szCs w:val="27"/>
        </w:rPr>
        <w:t>هل كان الإستشعار يعمل من قبل، خلال أنماط مماثلة من الإختبار؟</w:t>
      </w:r>
    </w:p>
    <w:p w14:paraId="7B524F36" w14:textId="27791676" w:rsidR="003C460F" w:rsidRPr="00D629D8" w:rsidRDefault="00604BAC" w:rsidP="002A20FD">
      <w:pPr>
        <w:pStyle w:val="ATABulletLevel01BodySlide"/>
        <w:rPr>
          <w:b/>
          <w:bCs w:val="0"/>
          <w:sz w:val="27"/>
          <w:szCs w:val="27"/>
        </w:rPr>
      </w:pPr>
      <w:r w:rsidRPr="00D629D8">
        <w:rPr>
          <w:b/>
          <w:bCs w:val="0"/>
          <w:sz w:val="27"/>
          <w:szCs w:val="27"/>
        </w:rPr>
        <w:t>هل تبدو مشكلة الإستشعار وكأنها فقط مرتبطة بمنطقة جغرافية بعينها أم أن المشكلة تحدث في مختلف القطاعات، مما يتطلب فحص جميع أجزاء السياج في كافة المناطق؟</w:t>
      </w:r>
    </w:p>
    <w:p w14:paraId="1FB5B1A5" w14:textId="77777777" w:rsidR="003C460F" w:rsidRPr="00D629D8" w:rsidRDefault="003C460F" w:rsidP="002A20FD">
      <w:pPr>
        <w:pStyle w:val="ATABulletLevel01BodySlide"/>
        <w:rPr>
          <w:b/>
          <w:bCs w:val="0"/>
          <w:sz w:val="27"/>
          <w:szCs w:val="27"/>
        </w:rPr>
      </w:pPr>
      <w:r w:rsidRPr="00D629D8">
        <w:rPr>
          <w:b/>
          <w:bCs w:val="0"/>
          <w:sz w:val="27"/>
          <w:szCs w:val="27"/>
        </w:rPr>
        <w:lastRenderedPageBreak/>
        <w:t>هل تتوقع الإدارة أن تعمل أجهزة الاستشعار بنسبة 100% طوال الوقت دون أي عطل، وهل هذا التوقع عملي؟</w:t>
      </w:r>
    </w:p>
    <w:p w14:paraId="186CD77E" w14:textId="77777777" w:rsidR="003C460F" w:rsidRPr="00D629D8" w:rsidRDefault="003C460F" w:rsidP="002A20FD">
      <w:pPr>
        <w:pStyle w:val="ATABulletLevel01BodySlide"/>
        <w:rPr>
          <w:b/>
          <w:bCs w:val="0"/>
          <w:sz w:val="27"/>
          <w:szCs w:val="27"/>
        </w:rPr>
      </w:pPr>
      <w:r w:rsidRPr="00D629D8">
        <w:rPr>
          <w:b/>
          <w:bCs w:val="0"/>
          <w:sz w:val="27"/>
          <w:szCs w:val="27"/>
        </w:rPr>
        <w:t>ماذا يتعين على المنظمة القيام به لاحتواء الموقف، على المدى القصير والطويل؟</w:t>
      </w:r>
    </w:p>
    <w:p w14:paraId="2293BA5E" w14:textId="77777777" w:rsidR="003C460F" w:rsidRPr="00D629D8" w:rsidRDefault="003C460F" w:rsidP="00C52CC1">
      <w:pPr>
        <w:pStyle w:val="ataBody0"/>
        <w:rPr>
          <w:sz w:val="27"/>
          <w:szCs w:val="27"/>
        </w:rPr>
      </w:pPr>
    </w:p>
    <w:p w14:paraId="18616777" w14:textId="00A9334D" w:rsidR="003C460F" w:rsidRPr="00D629D8" w:rsidRDefault="003C460F" w:rsidP="00B253C4">
      <w:pPr>
        <w:pStyle w:val="ATABody"/>
        <w:rPr>
          <w:sz w:val="27"/>
          <w:szCs w:val="27"/>
        </w:rPr>
      </w:pPr>
      <w:r w:rsidRPr="00D629D8">
        <w:rPr>
          <w:sz w:val="27"/>
          <w:szCs w:val="27"/>
        </w:rPr>
        <w:t xml:space="preserve">ساعدت الإجابات على هذه الأسئلة الفريق في تقييم الفجوات بين المتطلبات القياسية المتوقعة والأداء الفعلي لأجهزة الإستشعار. وتختص المرحلة التالية </w:t>
      </w:r>
      <w:r w:rsidR="00CA2EB8" w:rsidRPr="00D629D8">
        <w:rPr>
          <w:rFonts w:hint="cs"/>
          <w:sz w:val="27"/>
          <w:szCs w:val="27"/>
        </w:rPr>
        <w:t>من السيناريو</w:t>
      </w:r>
      <w:r w:rsidRPr="00D629D8">
        <w:rPr>
          <w:sz w:val="27"/>
          <w:szCs w:val="27"/>
        </w:rPr>
        <w:t xml:space="preserve"> بالتعرف على الفجوة، مما يقود إلى وضع خطة ناتجة عن تحليل الفجوة.</w:t>
      </w:r>
    </w:p>
    <w:p w14:paraId="6BCB065C" w14:textId="77777777" w:rsidR="003C460F" w:rsidRPr="00663280" w:rsidRDefault="003C460F" w:rsidP="00B253C4">
      <w:pPr>
        <w:pStyle w:val="ATAHeadingLevel2"/>
        <w:rPr>
          <w:b w:val="0"/>
          <w:bCs/>
          <w:sz w:val="27"/>
          <w:szCs w:val="27"/>
        </w:rPr>
      </w:pPr>
      <w:r w:rsidRPr="00663280">
        <w:rPr>
          <w:b w:val="0"/>
          <w:bCs/>
          <w:sz w:val="27"/>
          <w:szCs w:val="27"/>
        </w:rPr>
        <w:t>الخطوة 3: التعرف على الثغرات (الفجوات)</w:t>
      </w:r>
    </w:p>
    <w:p w14:paraId="66BFF839" w14:textId="50B7D7AA" w:rsidR="003C460F" w:rsidRPr="00D629D8" w:rsidRDefault="003C460F" w:rsidP="00C52CC1">
      <w:pPr>
        <w:pStyle w:val="ataBody0"/>
        <w:spacing w:after="60"/>
        <w:rPr>
          <w:sz w:val="27"/>
          <w:szCs w:val="27"/>
        </w:rPr>
      </w:pPr>
      <w:r w:rsidRPr="00D629D8">
        <w:rPr>
          <w:sz w:val="27"/>
          <w:szCs w:val="27"/>
        </w:rPr>
        <w:t>بعد مراجعة دقيقة وتقييم لنظام الحماية المادية (بما يتعلق بالسياج المحيط ومشكلة أجهزة الاستشعار)، أشارت نتائج هذه التحليل أن الخلل يقتصر على قطاع من السياج بطول 4 متر وكان السبب في ذلك جزء تالف من أجهزة الإستشعار.</w:t>
      </w:r>
    </w:p>
    <w:p w14:paraId="6DA285D6" w14:textId="77777777" w:rsidR="000E4553" w:rsidRPr="00D629D8" w:rsidRDefault="000E4553" w:rsidP="000E4553">
      <w:pPr>
        <w:rPr>
          <w:sz w:val="27"/>
          <w:szCs w:val="27"/>
        </w:rPr>
      </w:pPr>
    </w:p>
    <w:p w14:paraId="0EF54880" w14:textId="521DD6D3" w:rsidR="000E4553" w:rsidRPr="00D629D8" w:rsidRDefault="005C14C6" w:rsidP="000E4553">
      <w:pPr>
        <w:pStyle w:val="ataBody0"/>
        <w:keepNext/>
        <w:rPr>
          <w:sz w:val="27"/>
          <w:szCs w:val="27"/>
        </w:rPr>
      </w:pPr>
      <w:r w:rsidRPr="00D629D8">
        <w:rPr>
          <w:sz w:val="27"/>
          <w:szCs w:val="27"/>
        </w:rPr>
        <w:t xml:space="preserve">وبحسب هذا السيناريو حتى هذه النقطة، رأينا تطبيق للثلاثة خطوات الأولى من تحليل الفجوة: </w:t>
      </w:r>
    </w:p>
    <w:p w14:paraId="72EAFD3C" w14:textId="1B4481D4" w:rsidR="000E4553" w:rsidRPr="00663280" w:rsidRDefault="000E4553" w:rsidP="002A20FD">
      <w:pPr>
        <w:pStyle w:val="ATABulletLevel01BodySlide"/>
        <w:rPr>
          <w:b/>
          <w:bCs w:val="0"/>
          <w:sz w:val="27"/>
          <w:szCs w:val="27"/>
        </w:rPr>
      </w:pPr>
      <w:r w:rsidRPr="00663280">
        <w:rPr>
          <w:b/>
          <w:bCs w:val="0"/>
          <w:sz w:val="27"/>
          <w:szCs w:val="27"/>
        </w:rPr>
        <w:t>متطلبات محصلة النتائج المتوقعة لجهاز الإستشعار هي أداء وظيفي بنسبة 100%.</w:t>
      </w:r>
    </w:p>
    <w:p w14:paraId="3C01E37A" w14:textId="696C4EB3" w:rsidR="000E4553" w:rsidRPr="00663280" w:rsidRDefault="005C14C6" w:rsidP="002A20FD">
      <w:pPr>
        <w:pStyle w:val="ATABulletLevel01BodySlide"/>
        <w:rPr>
          <w:b/>
          <w:bCs w:val="0"/>
          <w:sz w:val="27"/>
          <w:szCs w:val="27"/>
        </w:rPr>
      </w:pPr>
      <w:r w:rsidRPr="00663280">
        <w:rPr>
          <w:b/>
          <w:bCs w:val="0"/>
          <w:sz w:val="27"/>
          <w:szCs w:val="27"/>
        </w:rPr>
        <w:t>قامت القوة الأمنية بعمل فحص أسبوعي وتقييم الأداء الحالي.</w:t>
      </w:r>
    </w:p>
    <w:p w14:paraId="2F80A2C0" w14:textId="008ED978" w:rsidR="000E4553" w:rsidRPr="00663280" w:rsidRDefault="000E4553" w:rsidP="002A20FD">
      <w:pPr>
        <w:pStyle w:val="ATABulletLevel01BodySlide"/>
        <w:rPr>
          <w:b/>
          <w:bCs w:val="0"/>
          <w:sz w:val="27"/>
          <w:szCs w:val="27"/>
        </w:rPr>
      </w:pPr>
      <w:r w:rsidRPr="00663280">
        <w:rPr>
          <w:b/>
          <w:bCs w:val="0"/>
          <w:sz w:val="27"/>
          <w:szCs w:val="27"/>
        </w:rPr>
        <w:t>قام الفريق بالتعرف على الفجوة: 100% فشل في قطاع السياج الذي يمتد بطول 4 متر.</w:t>
      </w:r>
    </w:p>
    <w:p w14:paraId="74F07B02" w14:textId="77777777" w:rsidR="000E4553" w:rsidRPr="00D629D8" w:rsidRDefault="000E4553" w:rsidP="000E4553">
      <w:pPr>
        <w:pStyle w:val="ataBody0"/>
        <w:rPr>
          <w:sz w:val="27"/>
          <w:szCs w:val="27"/>
        </w:rPr>
      </w:pPr>
    </w:p>
    <w:p w14:paraId="48AC0512" w14:textId="77777777" w:rsidR="000E4553" w:rsidRPr="00D629D8" w:rsidRDefault="000E4553" w:rsidP="000E4553">
      <w:pPr>
        <w:pStyle w:val="ataBody0"/>
        <w:rPr>
          <w:sz w:val="27"/>
          <w:szCs w:val="27"/>
        </w:rPr>
      </w:pPr>
      <w:r w:rsidRPr="00D629D8">
        <w:rPr>
          <w:sz w:val="27"/>
          <w:szCs w:val="27"/>
        </w:rPr>
        <w:t xml:space="preserve">ثم بعد ذلك، يمكننا رؤية كيف يتم استكمال العملية عن طريق النظر في الطريقة التي استخدمها الفريق في تعريف خطة إدارة المخاطر في الخطوة 4. </w:t>
      </w:r>
    </w:p>
    <w:p w14:paraId="6C29B9E0" w14:textId="77777777" w:rsidR="002A20FD" w:rsidRPr="00663280" w:rsidRDefault="002A20FD" w:rsidP="00B253C4">
      <w:pPr>
        <w:pStyle w:val="ATAHeadingLevel2"/>
        <w:rPr>
          <w:b w:val="0"/>
          <w:bCs/>
          <w:sz w:val="27"/>
          <w:szCs w:val="27"/>
        </w:rPr>
      </w:pPr>
      <w:r w:rsidRPr="00663280">
        <w:rPr>
          <w:b w:val="0"/>
          <w:bCs/>
          <w:sz w:val="27"/>
          <w:szCs w:val="27"/>
        </w:rPr>
        <w:t xml:space="preserve">الخطوة 4: تعريف خطة إدارة المخاطر </w:t>
      </w:r>
    </w:p>
    <w:p w14:paraId="17CCB13A" w14:textId="2904D330" w:rsidR="002A20FD" w:rsidRPr="00D629D8" w:rsidRDefault="002A20FD" w:rsidP="00B253C4">
      <w:pPr>
        <w:pStyle w:val="ATABody"/>
        <w:rPr>
          <w:sz w:val="27"/>
          <w:szCs w:val="27"/>
        </w:rPr>
      </w:pPr>
      <w:r w:rsidRPr="00D629D8">
        <w:rPr>
          <w:sz w:val="27"/>
          <w:szCs w:val="27"/>
        </w:rPr>
        <w:t>بعد أن يفرغ الفريق من تحديد الفجوة، كانت الخطوة التالية هي تحديد كيفية إدارة الفجوة التي تم تحديدها. وهذا يتضمن تحديد العمل المطلوب لمعالجة إدارة المخاطرة الخاصة بالمنشأة الحيوية للبنية الحرجة. وكجزء من هذا الإجراء، قام الفريق بفحص 3 خيارات للمنظمة:</w:t>
      </w:r>
    </w:p>
    <w:p w14:paraId="22B7B24C" w14:textId="05EADEF1" w:rsidR="002A20FD" w:rsidRPr="00663280" w:rsidRDefault="002A20FD" w:rsidP="002A20FD">
      <w:pPr>
        <w:pStyle w:val="ATABulletLevel01BodySlide"/>
        <w:rPr>
          <w:b/>
          <w:bCs w:val="0"/>
          <w:sz w:val="27"/>
          <w:szCs w:val="27"/>
        </w:rPr>
      </w:pPr>
      <w:r w:rsidRPr="00663280">
        <w:rPr>
          <w:b/>
          <w:bCs w:val="0"/>
          <w:sz w:val="27"/>
          <w:szCs w:val="27"/>
        </w:rPr>
        <w:t xml:space="preserve">الخيار </w:t>
      </w:r>
      <w:r w:rsidR="00CA2EB8" w:rsidRPr="00663280">
        <w:rPr>
          <w:rFonts w:hint="cs"/>
          <w:b/>
          <w:bCs w:val="0"/>
          <w:sz w:val="27"/>
          <w:szCs w:val="27"/>
        </w:rPr>
        <w:t>1:</w:t>
      </w:r>
      <w:r w:rsidR="00663280">
        <w:rPr>
          <w:rFonts w:hint="cs"/>
          <w:b/>
          <w:bCs w:val="0"/>
          <w:sz w:val="27"/>
          <w:szCs w:val="27"/>
        </w:rPr>
        <w:t xml:space="preserve"> </w:t>
      </w:r>
      <w:r w:rsidRPr="00663280">
        <w:rPr>
          <w:b/>
          <w:bCs w:val="0"/>
          <w:sz w:val="27"/>
          <w:szCs w:val="27"/>
        </w:rPr>
        <w:t>قبول المخاطر كأمر واقع وعدم التحرك.</w:t>
      </w:r>
    </w:p>
    <w:p w14:paraId="7C3FD83C" w14:textId="66DC27B2" w:rsidR="002A20FD" w:rsidRPr="00663280" w:rsidRDefault="002A20FD" w:rsidP="002A20FD">
      <w:pPr>
        <w:pStyle w:val="ATABulletLevel01BodySlide"/>
        <w:rPr>
          <w:b/>
          <w:bCs w:val="0"/>
          <w:sz w:val="27"/>
          <w:szCs w:val="27"/>
        </w:rPr>
      </w:pPr>
      <w:r w:rsidRPr="00663280">
        <w:rPr>
          <w:b/>
          <w:bCs w:val="0"/>
          <w:sz w:val="27"/>
          <w:szCs w:val="27"/>
        </w:rPr>
        <w:t xml:space="preserve">الخيار </w:t>
      </w:r>
      <w:r w:rsidR="00CA2EB8" w:rsidRPr="00663280">
        <w:rPr>
          <w:rFonts w:hint="cs"/>
          <w:b/>
          <w:bCs w:val="0"/>
          <w:sz w:val="27"/>
          <w:szCs w:val="27"/>
        </w:rPr>
        <w:t>2:</w:t>
      </w:r>
      <w:r w:rsidR="00663280">
        <w:rPr>
          <w:rFonts w:hint="cs"/>
          <w:b/>
          <w:bCs w:val="0"/>
          <w:sz w:val="27"/>
          <w:szCs w:val="27"/>
        </w:rPr>
        <w:t xml:space="preserve"> </w:t>
      </w:r>
      <w:r w:rsidRPr="00663280">
        <w:rPr>
          <w:b/>
          <w:bCs w:val="0"/>
          <w:sz w:val="27"/>
          <w:szCs w:val="27"/>
        </w:rPr>
        <w:t>تحويل الموضوع إلى منظمة أخرى، مثل شركة تأمين.</w:t>
      </w:r>
    </w:p>
    <w:p w14:paraId="385772B4" w14:textId="40E1F007" w:rsidR="002A20FD" w:rsidRPr="00663280" w:rsidRDefault="002A20FD" w:rsidP="002A20FD">
      <w:pPr>
        <w:pStyle w:val="ATABulletLevel01BodySlide"/>
        <w:rPr>
          <w:b/>
          <w:bCs w:val="0"/>
          <w:sz w:val="27"/>
          <w:szCs w:val="27"/>
        </w:rPr>
      </w:pPr>
      <w:r w:rsidRPr="00663280">
        <w:rPr>
          <w:b/>
          <w:bCs w:val="0"/>
          <w:sz w:val="27"/>
          <w:szCs w:val="27"/>
        </w:rPr>
        <w:t xml:space="preserve">الخيار </w:t>
      </w:r>
      <w:r w:rsidR="00CA2EB8" w:rsidRPr="00663280">
        <w:rPr>
          <w:rFonts w:hint="cs"/>
          <w:b/>
          <w:bCs w:val="0"/>
          <w:sz w:val="27"/>
          <w:szCs w:val="27"/>
        </w:rPr>
        <w:t>3:</w:t>
      </w:r>
      <w:r w:rsidR="00663280">
        <w:rPr>
          <w:rFonts w:hint="cs"/>
          <w:b/>
          <w:bCs w:val="0"/>
          <w:sz w:val="27"/>
          <w:szCs w:val="27"/>
        </w:rPr>
        <w:t xml:space="preserve"> </w:t>
      </w:r>
      <w:r w:rsidRPr="00663280">
        <w:rPr>
          <w:b/>
          <w:bCs w:val="0"/>
          <w:sz w:val="27"/>
          <w:szCs w:val="27"/>
        </w:rPr>
        <w:t>تحمل المسؤولية ومحاولة تخفيف الآثار الناجمة عن المخاطر عن طريق تنفيذ استراتيجيات جديدة أو محسنة لتطوير نظام الحماية المادية.</w:t>
      </w:r>
    </w:p>
    <w:p w14:paraId="436F2A41" w14:textId="77777777" w:rsidR="00B253C4" w:rsidRPr="00D629D8" w:rsidRDefault="00B253C4">
      <w:pPr>
        <w:rPr>
          <w:rFonts w:ascii="Cambria" w:hAnsi="Cambria"/>
          <w:b/>
          <w:sz w:val="27"/>
          <w:szCs w:val="27"/>
        </w:rPr>
      </w:pPr>
      <w:r w:rsidRPr="00D629D8">
        <w:rPr>
          <w:sz w:val="27"/>
          <w:szCs w:val="27"/>
        </w:rPr>
        <w:br w:type="page"/>
      </w:r>
    </w:p>
    <w:p w14:paraId="0DD83571" w14:textId="2843931B" w:rsidR="000E4553" w:rsidRPr="00663280" w:rsidRDefault="000E4553" w:rsidP="00B253C4">
      <w:pPr>
        <w:pStyle w:val="ATAHeadingLevel1"/>
        <w:rPr>
          <w:b w:val="0"/>
          <w:bCs/>
          <w:sz w:val="27"/>
          <w:szCs w:val="27"/>
        </w:rPr>
      </w:pPr>
      <w:r w:rsidRPr="00663280">
        <w:rPr>
          <w:b w:val="0"/>
          <w:bCs/>
          <w:sz w:val="27"/>
          <w:szCs w:val="27"/>
        </w:rPr>
        <w:lastRenderedPageBreak/>
        <w:t>خيارات إدارة المخاطر</w:t>
      </w:r>
    </w:p>
    <w:p w14:paraId="3A86DF8E" w14:textId="77777777" w:rsidR="000E4553" w:rsidRPr="00D629D8" w:rsidRDefault="000E4553" w:rsidP="00B253C4">
      <w:pPr>
        <w:pStyle w:val="ATABody"/>
        <w:rPr>
          <w:sz w:val="27"/>
          <w:szCs w:val="27"/>
        </w:rPr>
      </w:pPr>
      <w:r w:rsidRPr="00D629D8">
        <w:rPr>
          <w:sz w:val="27"/>
          <w:szCs w:val="27"/>
        </w:rPr>
        <w:t>يقوم صناع القرارات بتشكيل خطة إدارة المخاطر للمنظمة التي يعملون بها عن طريق تقييم 3 خيارات أساسية لتخفيف أثر الخطر.</w:t>
      </w:r>
    </w:p>
    <w:p w14:paraId="633B2A91" w14:textId="4CA757E8" w:rsidR="000E4553" w:rsidRPr="00663280" w:rsidRDefault="000E4553" w:rsidP="00663280">
      <w:pPr>
        <w:pStyle w:val="ATAHeadingLevel2"/>
        <w:rPr>
          <w:b w:val="0"/>
          <w:bCs/>
          <w:sz w:val="27"/>
          <w:szCs w:val="27"/>
        </w:rPr>
      </w:pPr>
      <w:r w:rsidRPr="00663280">
        <w:rPr>
          <w:b w:val="0"/>
          <w:bCs/>
          <w:sz w:val="27"/>
          <w:szCs w:val="27"/>
        </w:rPr>
        <w:t xml:space="preserve">الخيار </w:t>
      </w:r>
      <w:r w:rsidR="00663280">
        <w:rPr>
          <w:rFonts w:hint="cs"/>
          <w:b w:val="0"/>
          <w:bCs/>
          <w:sz w:val="27"/>
          <w:szCs w:val="27"/>
        </w:rPr>
        <w:t xml:space="preserve">1: </w:t>
      </w:r>
      <w:r w:rsidRPr="00663280">
        <w:rPr>
          <w:b w:val="0"/>
          <w:bCs/>
          <w:sz w:val="27"/>
          <w:szCs w:val="27"/>
        </w:rPr>
        <w:t>قبول المخاطر كأمر واقع وعدم التحرك</w:t>
      </w:r>
    </w:p>
    <w:p w14:paraId="6FDCF0AA" w14:textId="1AC91408" w:rsidR="000E4553" w:rsidRPr="00D629D8" w:rsidRDefault="000E4553" w:rsidP="00B253C4">
      <w:pPr>
        <w:pStyle w:val="ATABody"/>
        <w:rPr>
          <w:sz w:val="27"/>
          <w:szCs w:val="27"/>
        </w:rPr>
      </w:pPr>
      <w:r w:rsidRPr="00D629D8">
        <w:rPr>
          <w:sz w:val="27"/>
          <w:szCs w:val="27"/>
        </w:rPr>
        <w:t xml:space="preserve">يكون الخيار الأول أمام المنظمة هو هل ستقبل المخاطرة وتقف مكتوفة الأيدي. يكون هذا الإختيار ملائما فقط في الحالات التي تنطوي على مخاطر ضئيلة، عندئذ عدم اتخاذ أي قرار بشأنها سيقع ضمن الإطار الطبيعي لإرشادات السلامة المقبولة وفق ما تقرره الإدارة الخاصة بالمنشآت الحيوية في البنية الأساسية الحرجة. </w:t>
      </w:r>
    </w:p>
    <w:p w14:paraId="0A098A7E" w14:textId="77777777" w:rsidR="000E4553" w:rsidRPr="00D629D8" w:rsidRDefault="000E4553" w:rsidP="000E4553">
      <w:pPr>
        <w:pStyle w:val="ataBody0"/>
        <w:rPr>
          <w:sz w:val="27"/>
          <w:szCs w:val="27"/>
        </w:rPr>
      </w:pPr>
    </w:p>
    <w:p w14:paraId="2B12CA6F" w14:textId="77777777" w:rsidR="00D46063" w:rsidRPr="00D629D8" w:rsidRDefault="000E4553" w:rsidP="00B253C4">
      <w:pPr>
        <w:pStyle w:val="ATABody"/>
        <w:rPr>
          <w:sz w:val="27"/>
          <w:szCs w:val="27"/>
        </w:rPr>
      </w:pPr>
      <w:r w:rsidRPr="00D629D8">
        <w:rPr>
          <w:sz w:val="27"/>
          <w:szCs w:val="27"/>
        </w:rPr>
        <w:t xml:space="preserve">فعلى سبيل المثال، اكتشفت المنظمة أنه يمكن تغيير نوع الإضاءة بموقف السيارات بالمنشأة من اللمبات القديمة إلى نوع جديد من اللمبات شديدة الإضاءة، الأمر الذي سيزيد من كمية الإضاءة بدرجة كبيرة في مكان رصف السيارات. </w:t>
      </w:r>
    </w:p>
    <w:p w14:paraId="0AECC2D1" w14:textId="77777777" w:rsidR="00D46063" w:rsidRPr="00663280" w:rsidRDefault="000E4553" w:rsidP="00D46063">
      <w:pPr>
        <w:pStyle w:val="ATABulletLevel01BodySlide"/>
        <w:rPr>
          <w:b/>
          <w:bCs w:val="0"/>
          <w:sz w:val="27"/>
          <w:szCs w:val="27"/>
        </w:rPr>
      </w:pPr>
      <w:r w:rsidRPr="00663280">
        <w:rPr>
          <w:b/>
          <w:bCs w:val="0"/>
          <w:sz w:val="27"/>
          <w:szCs w:val="27"/>
        </w:rPr>
        <w:t xml:space="preserve">بعد عمل تحليل، قرروا قبول عنصر المخاطرة وتأجيل تغيير اللمبات. في هذه الحالة، تحليل التكلفة والمنفعة المرتبط بنوع الضوء الجديد لم يبرر تغيير جميع اللمبات. </w:t>
      </w:r>
    </w:p>
    <w:p w14:paraId="37FA9222" w14:textId="77777777" w:rsidR="00D46063" w:rsidRPr="00663280" w:rsidRDefault="000E4553" w:rsidP="00D46063">
      <w:pPr>
        <w:pStyle w:val="ATABulletLevel01BodySlide"/>
        <w:rPr>
          <w:b/>
          <w:bCs w:val="0"/>
          <w:sz w:val="27"/>
          <w:szCs w:val="27"/>
        </w:rPr>
      </w:pPr>
      <w:r w:rsidRPr="00663280">
        <w:rPr>
          <w:b/>
          <w:bCs w:val="0"/>
          <w:sz w:val="27"/>
          <w:szCs w:val="27"/>
        </w:rPr>
        <w:t xml:space="preserve">فلايزال الضوء الحالي يكفي لإنارة المنطقة طبقا للمعايير الإجرائية العملياتية. </w:t>
      </w:r>
    </w:p>
    <w:p w14:paraId="22C503C3" w14:textId="77777777" w:rsidR="000E4553" w:rsidRPr="00663280" w:rsidRDefault="000E4553" w:rsidP="00D46063">
      <w:pPr>
        <w:pStyle w:val="ATABulletLevel01BodySlide"/>
        <w:rPr>
          <w:b/>
          <w:bCs w:val="0"/>
          <w:sz w:val="27"/>
          <w:szCs w:val="27"/>
        </w:rPr>
      </w:pPr>
      <w:r w:rsidRPr="00663280">
        <w:rPr>
          <w:b/>
          <w:bCs w:val="0"/>
          <w:sz w:val="27"/>
          <w:szCs w:val="27"/>
        </w:rPr>
        <w:t xml:space="preserve">وبدلا من ذلك، قررت المنظمة تغيير اللمبات تباعا، حيث أن اللمبات القديمة أخذت في التلف الواحدة بعد الأخرى، وتم استبدالها وحلت محلها اللمبات شديدة الإضاءة. </w:t>
      </w:r>
    </w:p>
    <w:p w14:paraId="7B2E0868" w14:textId="77777777" w:rsidR="00D46063" w:rsidRPr="00D629D8" w:rsidRDefault="00D46063" w:rsidP="000E4553">
      <w:pPr>
        <w:pStyle w:val="ataBody0"/>
        <w:rPr>
          <w:sz w:val="27"/>
          <w:szCs w:val="27"/>
        </w:rPr>
      </w:pPr>
    </w:p>
    <w:p w14:paraId="3005834E" w14:textId="77777777" w:rsidR="00D46063" w:rsidRPr="00D629D8" w:rsidRDefault="000E4553" w:rsidP="00B253C4">
      <w:pPr>
        <w:pStyle w:val="ATABody"/>
        <w:rPr>
          <w:sz w:val="27"/>
          <w:szCs w:val="27"/>
        </w:rPr>
      </w:pPr>
      <w:r w:rsidRPr="00D629D8">
        <w:rPr>
          <w:sz w:val="27"/>
          <w:szCs w:val="27"/>
        </w:rPr>
        <w:t xml:space="preserve">ولا يجب أن يلتبس هذا الخيار مع التحاشي، أو التقاعس وهو خيار غير مقبول بصفة عامة. </w:t>
      </w:r>
    </w:p>
    <w:p w14:paraId="5E8B1509" w14:textId="77777777" w:rsidR="00D46063" w:rsidRPr="00663280" w:rsidRDefault="000E4553" w:rsidP="00D46063">
      <w:pPr>
        <w:pStyle w:val="ATABulletLevel01BodySlide"/>
        <w:rPr>
          <w:b/>
          <w:bCs w:val="0"/>
          <w:sz w:val="27"/>
          <w:szCs w:val="27"/>
        </w:rPr>
      </w:pPr>
      <w:r w:rsidRPr="00663280">
        <w:rPr>
          <w:b/>
          <w:bCs w:val="0"/>
          <w:sz w:val="27"/>
          <w:szCs w:val="27"/>
        </w:rPr>
        <w:t xml:space="preserve">فالتحاشي يوحي أن المشكلة التي تم تحديدها تنطوي على عنصر أعلى من المخاطرة مرتبط بها، ولا تشكل حلا حقيقيا أو مجديا. </w:t>
      </w:r>
    </w:p>
    <w:p w14:paraId="18B2E1F9" w14:textId="4E6304F7" w:rsidR="00D46063" w:rsidRPr="00663280" w:rsidRDefault="000E4553" w:rsidP="00D46063">
      <w:pPr>
        <w:pStyle w:val="ATABulletLevel01BodySlide"/>
        <w:rPr>
          <w:b/>
          <w:bCs w:val="0"/>
          <w:sz w:val="27"/>
          <w:szCs w:val="27"/>
        </w:rPr>
      </w:pPr>
      <w:r w:rsidRPr="00663280">
        <w:rPr>
          <w:b/>
          <w:bCs w:val="0"/>
          <w:sz w:val="27"/>
          <w:szCs w:val="27"/>
        </w:rPr>
        <w:t xml:space="preserve">وتحاشي المشكلة هو تقاعس متعمد يكبد المنشأة مسائلة قانونية هائلة، مما يؤثر على </w:t>
      </w:r>
      <w:r w:rsidR="00CA2EB8" w:rsidRPr="00663280">
        <w:rPr>
          <w:rFonts w:hint="cs"/>
          <w:b/>
          <w:bCs w:val="0"/>
          <w:sz w:val="27"/>
          <w:szCs w:val="27"/>
        </w:rPr>
        <w:t>استراتيجية الحماية</w:t>
      </w:r>
      <w:r w:rsidRPr="00663280">
        <w:rPr>
          <w:b/>
          <w:bCs w:val="0"/>
          <w:sz w:val="27"/>
          <w:szCs w:val="27"/>
        </w:rPr>
        <w:t xml:space="preserve"> الكلية لمنشآت البنية الأساسية الحرجة، الأمر الذي يبطل فعالية الإستراتيجية ككل. </w:t>
      </w:r>
    </w:p>
    <w:p w14:paraId="2193CFEC" w14:textId="77777777" w:rsidR="000E4553" w:rsidRPr="00663280" w:rsidRDefault="000E4553" w:rsidP="00D46063">
      <w:pPr>
        <w:pStyle w:val="ATABulletLevel01BodySlide"/>
        <w:rPr>
          <w:b/>
          <w:bCs w:val="0"/>
          <w:sz w:val="27"/>
          <w:szCs w:val="27"/>
        </w:rPr>
      </w:pPr>
      <w:r w:rsidRPr="00663280">
        <w:rPr>
          <w:b/>
          <w:bCs w:val="0"/>
          <w:sz w:val="27"/>
          <w:szCs w:val="27"/>
        </w:rPr>
        <w:t>لذلك فالتقاعس لا يُعتبر خيار متاح في هذه الدورة.</w:t>
      </w:r>
    </w:p>
    <w:p w14:paraId="3E9C48A2" w14:textId="32617590" w:rsidR="000E4553" w:rsidRPr="00663280" w:rsidRDefault="000E4553" w:rsidP="00663280">
      <w:pPr>
        <w:pStyle w:val="ATAHeadingLevel2"/>
        <w:rPr>
          <w:b w:val="0"/>
          <w:bCs/>
          <w:sz w:val="27"/>
          <w:szCs w:val="27"/>
        </w:rPr>
      </w:pPr>
      <w:r w:rsidRPr="00663280">
        <w:rPr>
          <w:b w:val="0"/>
          <w:bCs/>
          <w:sz w:val="27"/>
          <w:szCs w:val="27"/>
        </w:rPr>
        <w:t xml:space="preserve">الخيار </w:t>
      </w:r>
      <w:r w:rsidR="00663280">
        <w:rPr>
          <w:rFonts w:hint="cs"/>
          <w:b w:val="0"/>
          <w:bCs/>
          <w:sz w:val="27"/>
          <w:szCs w:val="27"/>
        </w:rPr>
        <w:t>2:</w:t>
      </w:r>
      <w:r w:rsidRPr="00663280">
        <w:rPr>
          <w:b w:val="0"/>
          <w:bCs/>
          <w:sz w:val="27"/>
          <w:szCs w:val="27"/>
        </w:rPr>
        <w:t xml:space="preserve"> تحويل الأمر لمنظمة أخرى</w:t>
      </w:r>
    </w:p>
    <w:p w14:paraId="2509B606" w14:textId="22F8A474" w:rsidR="002B6528" w:rsidRPr="00D629D8" w:rsidRDefault="000E4553" w:rsidP="00B253C4">
      <w:pPr>
        <w:pStyle w:val="ATABody"/>
        <w:rPr>
          <w:sz w:val="27"/>
          <w:szCs w:val="27"/>
        </w:rPr>
      </w:pPr>
      <w:r w:rsidRPr="00D629D8">
        <w:rPr>
          <w:sz w:val="27"/>
          <w:szCs w:val="27"/>
        </w:rPr>
        <w:t xml:space="preserve">الخيار التالي المتاح هو قيام صناع القرار بتحويل القضية لمنظمة أخرى. </w:t>
      </w:r>
    </w:p>
    <w:p w14:paraId="7FD88208" w14:textId="77777777" w:rsidR="002B6528" w:rsidRPr="00663280" w:rsidRDefault="000E4553" w:rsidP="002B6528">
      <w:pPr>
        <w:pStyle w:val="ATABulletLevel01BodySlide"/>
        <w:rPr>
          <w:b/>
          <w:bCs w:val="0"/>
          <w:sz w:val="27"/>
          <w:szCs w:val="27"/>
        </w:rPr>
      </w:pPr>
      <w:r w:rsidRPr="00663280">
        <w:rPr>
          <w:b/>
          <w:bCs w:val="0"/>
          <w:sz w:val="27"/>
          <w:szCs w:val="27"/>
        </w:rPr>
        <w:t xml:space="preserve">قد تكون هناك منظمة أخرى مسؤولة عن تتحمل نفقات التحسينات الأمنية، ولكنها عادة ما تتحمل ذلك شركات التأمين. </w:t>
      </w:r>
    </w:p>
    <w:p w14:paraId="0C9B35AA" w14:textId="57FF5C06" w:rsidR="000E4553" w:rsidRPr="00663280" w:rsidRDefault="000E4553" w:rsidP="002B6528">
      <w:pPr>
        <w:pStyle w:val="ATABulletLevel01BodySlide"/>
        <w:rPr>
          <w:b/>
          <w:bCs w:val="0"/>
          <w:sz w:val="27"/>
          <w:szCs w:val="27"/>
        </w:rPr>
      </w:pPr>
      <w:r w:rsidRPr="00663280">
        <w:rPr>
          <w:b/>
          <w:bCs w:val="0"/>
          <w:sz w:val="27"/>
          <w:szCs w:val="27"/>
        </w:rPr>
        <w:t xml:space="preserve">يمكن لشركة التأمين توفير التغطية إذا حدثت خسائر، فتقوم عندئذ شركة التأمين بدفع تكاليف الخسائر المرتبطة بذلك للمنظمة. </w:t>
      </w:r>
    </w:p>
    <w:p w14:paraId="11FB1326" w14:textId="6B5F67FC" w:rsidR="002B6528" w:rsidRPr="00663280" w:rsidRDefault="000E4553" w:rsidP="002B6528">
      <w:pPr>
        <w:pStyle w:val="ATABulletLevel01BodySlide"/>
        <w:rPr>
          <w:b/>
          <w:bCs w:val="0"/>
          <w:sz w:val="27"/>
          <w:szCs w:val="27"/>
        </w:rPr>
      </w:pPr>
      <w:r w:rsidRPr="00663280">
        <w:rPr>
          <w:b/>
          <w:bCs w:val="0"/>
          <w:sz w:val="27"/>
          <w:szCs w:val="27"/>
        </w:rPr>
        <w:t xml:space="preserve">وعادة ما تتطلب شركات التأمين أن تقوم المنظمة بتوفير مستوى مناسب من الأمن وحماية البنود التي يغطيها التأمين. </w:t>
      </w:r>
    </w:p>
    <w:p w14:paraId="526089AD" w14:textId="77777777" w:rsidR="002B6528" w:rsidRPr="00663280" w:rsidRDefault="000E4553" w:rsidP="002B6528">
      <w:pPr>
        <w:pStyle w:val="ATABulletLevel01BodySlide"/>
        <w:rPr>
          <w:b/>
          <w:bCs w:val="0"/>
          <w:sz w:val="27"/>
          <w:szCs w:val="27"/>
        </w:rPr>
      </w:pPr>
      <w:r w:rsidRPr="00663280">
        <w:rPr>
          <w:b/>
          <w:bCs w:val="0"/>
          <w:sz w:val="27"/>
          <w:szCs w:val="27"/>
        </w:rPr>
        <w:t xml:space="preserve">فإذا عجزت المنظمة عن الوفاء بمتطلبات المستوى الأمني المشترط عليه في وثيقة التأمين، ربما تقوم شركة التأمين بإجبار المنظمة على تحمل مسؤولية الخسائر الناجمة عن ذلك. </w:t>
      </w:r>
    </w:p>
    <w:p w14:paraId="627DBD06" w14:textId="77777777" w:rsidR="002B6528" w:rsidRPr="00D629D8" w:rsidRDefault="002B6528" w:rsidP="002B6528">
      <w:pPr>
        <w:pStyle w:val="ATABody"/>
        <w:rPr>
          <w:sz w:val="27"/>
          <w:szCs w:val="27"/>
        </w:rPr>
      </w:pPr>
    </w:p>
    <w:p w14:paraId="279D3C9F" w14:textId="031C7299" w:rsidR="000E4553" w:rsidRPr="00D629D8" w:rsidRDefault="000E4553" w:rsidP="002B6528">
      <w:pPr>
        <w:pStyle w:val="ATABody"/>
        <w:rPr>
          <w:sz w:val="27"/>
          <w:szCs w:val="27"/>
        </w:rPr>
      </w:pPr>
      <w:r w:rsidRPr="00D629D8">
        <w:rPr>
          <w:sz w:val="27"/>
          <w:szCs w:val="27"/>
        </w:rPr>
        <w:t xml:space="preserve">بالإضافة لذلك، فإن الخسائر المفروض حمايتها عن </w:t>
      </w:r>
      <w:r w:rsidR="00CA2EB8" w:rsidRPr="00D629D8">
        <w:rPr>
          <w:rFonts w:hint="cs"/>
          <w:sz w:val="27"/>
          <w:szCs w:val="27"/>
        </w:rPr>
        <w:t>طريق الأمن</w:t>
      </w:r>
      <w:r w:rsidRPr="00D629D8">
        <w:rPr>
          <w:sz w:val="27"/>
          <w:szCs w:val="27"/>
        </w:rPr>
        <w:t xml:space="preserve"> السيبراني — فقدان المعلومات الحساسة أو الإخلال بالإجراءات الحرجة — فيصعب تأمينها نظرا لطبيعتها المعقدة وصعوبة تقييمها بالإضافة إلى العواقب المتشابكة الناجمة عن خسائر المعلومات. </w:t>
      </w:r>
    </w:p>
    <w:p w14:paraId="562B5B8E" w14:textId="4AE4DFB2" w:rsidR="000E4553" w:rsidRPr="004F2DE4" w:rsidRDefault="000E4553" w:rsidP="004F2DE4">
      <w:pPr>
        <w:pStyle w:val="ATAHeadingLevel2"/>
        <w:rPr>
          <w:b w:val="0"/>
          <w:bCs/>
          <w:sz w:val="27"/>
          <w:szCs w:val="27"/>
        </w:rPr>
      </w:pPr>
      <w:r w:rsidRPr="004F2DE4">
        <w:rPr>
          <w:b w:val="0"/>
          <w:bCs/>
          <w:sz w:val="27"/>
          <w:szCs w:val="27"/>
        </w:rPr>
        <w:lastRenderedPageBreak/>
        <w:t xml:space="preserve">الخيار </w:t>
      </w:r>
      <w:r w:rsidR="004F2DE4">
        <w:rPr>
          <w:rFonts w:hint="cs"/>
          <w:b w:val="0"/>
          <w:bCs/>
          <w:sz w:val="27"/>
          <w:szCs w:val="27"/>
        </w:rPr>
        <w:t>3:</w:t>
      </w:r>
      <w:r w:rsidRPr="004F2DE4">
        <w:rPr>
          <w:b w:val="0"/>
          <w:bCs/>
          <w:sz w:val="27"/>
          <w:szCs w:val="27"/>
        </w:rPr>
        <w:t xml:space="preserve"> قبول المسؤولية وتخفيف آثار المخاطر</w:t>
      </w:r>
    </w:p>
    <w:p w14:paraId="58642E7A" w14:textId="39262A4A" w:rsidR="000E4553" w:rsidRPr="00D629D8" w:rsidRDefault="000E4553" w:rsidP="00B253C4">
      <w:pPr>
        <w:pStyle w:val="ATABody"/>
        <w:rPr>
          <w:sz w:val="27"/>
          <w:szCs w:val="27"/>
        </w:rPr>
      </w:pPr>
      <w:r w:rsidRPr="00D629D8">
        <w:rPr>
          <w:sz w:val="27"/>
          <w:szCs w:val="27"/>
        </w:rPr>
        <w:t>والخيار الأخير أمام المنظمة هو تحمل المسؤولية ومحاولة تخفيف الآثار الناجمة عن المخاطر عن طريق تنفيذ استراتيجيات جديدة أو محسنة بشأن نظام الحماية المادية. ويتضمن هذا الخيار عددا من القرارات الواجب اتخاذها والتي قد تؤثر على الأفراد، والماليات، وسائر الموارد الداخلية والخارجية للمنظمة.</w:t>
      </w:r>
    </w:p>
    <w:p w14:paraId="1657DAA3" w14:textId="2756FC43" w:rsidR="000E4553" w:rsidRPr="004F2DE4" w:rsidRDefault="000E4553" w:rsidP="00FD45C3">
      <w:pPr>
        <w:pStyle w:val="ATAHeadingLevel1"/>
        <w:rPr>
          <w:b w:val="0"/>
          <w:bCs/>
          <w:sz w:val="27"/>
          <w:szCs w:val="27"/>
        </w:rPr>
      </w:pPr>
      <w:r w:rsidRPr="004F2DE4">
        <w:rPr>
          <w:b w:val="0"/>
          <w:bCs/>
          <w:sz w:val="27"/>
          <w:szCs w:val="27"/>
        </w:rPr>
        <w:t>أسئلة المناقشة الخاصة بسيناريو أجهزة استشعار السياج</w:t>
      </w:r>
      <w:r w:rsidR="00D92055">
        <w:rPr>
          <w:b w:val="0"/>
          <w:bCs/>
          <w:sz w:val="27"/>
          <w:szCs w:val="27"/>
        </w:rPr>
        <w:br/>
      </w:r>
    </w:p>
    <w:p w14:paraId="436B4A4C" w14:textId="5595A1E6" w:rsidR="000E4553" w:rsidRPr="004F2DE4" w:rsidRDefault="00A534B1" w:rsidP="00B253C4">
      <w:pPr>
        <w:pStyle w:val="ATANumLevel01BodySlide"/>
        <w:numPr>
          <w:ilvl w:val="0"/>
          <w:numId w:val="38"/>
        </w:numPr>
        <w:ind w:left="360" w:hanging="270"/>
        <w:rPr>
          <w:rStyle w:val="ATAEmphasis"/>
          <w:b w:val="0"/>
          <w:bCs/>
          <w:sz w:val="27"/>
          <w:szCs w:val="27"/>
        </w:rPr>
      </w:pPr>
      <w:r w:rsidRPr="004F2DE4">
        <w:rPr>
          <w:rStyle w:val="ATAEmphasis"/>
          <w:b w:val="0"/>
          <w:bCs/>
          <w:sz w:val="27"/>
          <w:szCs w:val="27"/>
        </w:rPr>
        <w:t>هل خيار قبول الخطر كأمر واقع وعدم إتخاذ أية إجراءات هو حل مقبول؟ لماذا أو لم لا؟</w:t>
      </w:r>
    </w:p>
    <w:tbl>
      <w:tblPr>
        <w:tblStyle w:val="TableGrid"/>
        <w:bidiVisual/>
        <w:tblW w:w="0" w:type="auto"/>
        <w:tblInd w:w="360" w:type="dxa"/>
        <w:tblBorders>
          <w:left w:val="none" w:sz="0" w:space="0" w:color="auto"/>
          <w:right w:val="none" w:sz="0" w:space="0" w:color="auto"/>
        </w:tblBorders>
        <w:tblLook w:val="04A0" w:firstRow="1" w:lastRow="0" w:firstColumn="1" w:lastColumn="0" w:noHBand="0" w:noVBand="1"/>
      </w:tblPr>
      <w:tblGrid>
        <w:gridCol w:w="8496"/>
      </w:tblGrid>
      <w:tr w:rsidR="004316CE" w:rsidRPr="00D629D8" w14:paraId="7A8F835C" w14:textId="77777777" w:rsidTr="004316CE">
        <w:trPr>
          <w:trHeight w:val="432"/>
        </w:trPr>
        <w:tc>
          <w:tcPr>
            <w:tcW w:w="8856" w:type="dxa"/>
            <w:tcBorders>
              <w:top w:val="nil"/>
            </w:tcBorders>
          </w:tcPr>
          <w:p w14:paraId="3488AE32" w14:textId="77777777" w:rsidR="004316CE" w:rsidRPr="00D629D8" w:rsidRDefault="004316CE" w:rsidP="000C2B55">
            <w:pPr>
              <w:pStyle w:val="ataNumberedList"/>
              <w:ind w:left="0" w:firstLine="0"/>
              <w:rPr>
                <w:i/>
                <w:color w:val="000000" w:themeColor="text1"/>
                <w:sz w:val="27"/>
                <w:szCs w:val="27"/>
              </w:rPr>
            </w:pPr>
          </w:p>
        </w:tc>
      </w:tr>
      <w:tr w:rsidR="004316CE" w:rsidRPr="00D629D8" w14:paraId="2CC2B962" w14:textId="77777777" w:rsidTr="004316CE">
        <w:trPr>
          <w:trHeight w:val="720"/>
        </w:trPr>
        <w:tc>
          <w:tcPr>
            <w:tcW w:w="8856" w:type="dxa"/>
          </w:tcPr>
          <w:p w14:paraId="7F7B002D" w14:textId="71349F31" w:rsidR="004316CE" w:rsidRPr="00D629D8" w:rsidRDefault="004316CE" w:rsidP="000C2B55">
            <w:pPr>
              <w:pStyle w:val="ataNumberedList"/>
              <w:ind w:left="0" w:firstLine="0"/>
              <w:rPr>
                <w:color w:val="000000" w:themeColor="text1"/>
                <w:sz w:val="27"/>
                <w:szCs w:val="27"/>
              </w:rPr>
            </w:pPr>
          </w:p>
        </w:tc>
      </w:tr>
      <w:tr w:rsidR="004316CE" w:rsidRPr="00D629D8" w14:paraId="217E7E5E" w14:textId="77777777" w:rsidTr="004316CE">
        <w:trPr>
          <w:trHeight w:val="720"/>
        </w:trPr>
        <w:tc>
          <w:tcPr>
            <w:tcW w:w="8856" w:type="dxa"/>
          </w:tcPr>
          <w:p w14:paraId="74A2B81F" w14:textId="77777777" w:rsidR="004316CE" w:rsidRPr="00D629D8" w:rsidRDefault="004316CE" w:rsidP="000C2B55">
            <w:pPr>
              <w:pStyle w:val="ataNumberedList"/>
              <w:ind w:left="0" w:firstLine="0"/>
              <w:rPr>
                <w:i/>
                <w:color w:val="000000" w:themeColor="text1"/>
                <w:sz w:val="27"/>
                <w:szCs w:val="27"/>
              </w:rPr>
            </w:pPr>
          </w:p>
        </w:tc>
      </w:tr>
      <w:tr w:rsidR="004316CE" w:rsidRPr="00D629D8" w14:paraId="6299D33F" w14:textId="77777777" w:rsidTr="004316CE">
        <w:trPr>
          <w:trHeight w:val="720"/>
        </w:trPr>
        <w:tc>
          <w:tcPr>
            <w:tcW w:w="8856" w:type="dxa"/>
          </w:tcPr>
          <w:p w14:paraId="1EDEC0DE" w14:textId="77777777" w:rsidR="004316CE" w:rsidRPr="00D629D8" w:rsidRDefault="004316CE" w:rsidP="000C2B55">
            <w:pPr>
              <w:pStyle w:val="ataNumberedList"/>
              <w:ind w:left="0" w:firstLine="0"/>
              <w:rPr>
                <w:i/>
                <w:color w:val="000000" w:themeColor="text1"/>
                <w:sz w:val="27"/>
                <w:szCs w:val="27"/>
              </w:rPr>
            </w:pPr>
          </w:p>
        </w:tc>
      </w:tr>
      <w:tr w:rsidR="00FD45C3" w:rsidRPr="00D629D8" w14:paraId="6B8B0985" w14:textId="77777777" w:rsidTr="004316CE">
        <w:trPr>
          <w:trHeight w:val="720"/>
        </w:trPr>
        <w:tc>
          <w:tcPr>
            <w:tcW w:w="8856" w:type="dxa"/>
          </w:tcPr>
          <w:p w14:paraId="508A7A84" w14:textId="77777777" w:rsidR="00FD45C3" w:rsidRPr="00D629D8" w:rsidRDefault="00FD45C3" w:rsidP="000C2B55">
            <w:pPr>
              <w:pStyle w:val="ataNumberedList"/>
              <w:ind w:left="0" w:firstLine="0"/>
              <w:rPr>
                <w:i/>
                <w:color w:val="000000" w:themeColor="text1"/>
                <w:sz w:val="27"/>
                <w:szCs w:val="27"/>
              </w:rPr>
            </w:pPr>
          </w:p>
        </w:tc>
      </w:tr>
      <w:tr w:rsidR="00FD45C3" w:rsidRPr="00D629D8" w14:paraId="004D8189" w14:textId="77777777" w:rsidTr="004316CE">
        <w:trPr>
          <w:trHeight w:val="720"/>
        </w:trPr>
        <w:tc>
          <w:tcPr>
            <w:tcW w:w="8856" w:type="dxa"/>
          </w:tcPr>
          <w:p w14:paraId="55B4487B" w14:textId="77777777" w:rsidR="00FD45C3" w:rsidRPr="00D629D8" w:rsidRDefault="00FD45C3" w:rsidP="000C2B55">
            <w:pPr>
              <w:pStyle w:val="ataNumberedList"/>
              <w:ind w:left="0" w:firstLine="0"/>
              <w:rPr>
                <w:i/>
                <w:color w:val="000000" w:themeColor="text1"/>
                <w:sz w:val="27"/>
                <w:szCs w:val="27"/>
              </w:rPr>
            </w:pPr>
          </w:p>
        </w:tc>
      </w:tr>
    </w:tbl>
    <w:p w14:paraId="6965D317" w14:textId="6FA1A57F" w:rsidR="000E4553" w:rsidRPr="00D629D8" w:rsidRDefault="00D92055" w:rsidP="000E4553">
      <w:pPr>
        <w:ind w:left="360"/>
        <w:rPr>
          <w:sz w:val="27"/>
          <w:szCs w:val="27"/>
        </w:rPr>
      </w:pPr>
      <w:r>
        <w:rPr>
          <w:sz w:val="27"/>
          <w:szCs w:val="27"/>
        </w:rPr>
        <w:br/>
      </w:r>
    </w:p>
    <w:p w14:paraId="02600A5A" w14:textId="050017E7" w:rsidR="000E4553" w:rsidRPr="004F2DE4" w:rsidRDefault="00A534B1" w:rsidP="00B253C4">
      <w:pPr>
        <w:pStyle w:val="ATANumLevel01BodySlide"/>
        <w:rPr>
          <w:rStyle w:val="ATAEmphasis"/>
          <w:b w:val="0"/>
          <w:bCs/>
          <w:sz w:val="27"/>
          <w:szCs w:val="27"/>
        </w:rPr>
      </w:pPr>
      <w:r w:rsidRPr="004F2DE4">
        <w:rPr>
          <w:rStyle w:val="ATAEmphasis"/>
          <w:b w:val="0"/>
          <w:bCs/>
          <w:sz w:val="27"/>
          <w:szCs w:val="27"/>
        </w:rPr>
        <w:t>هل خيار تحويل المشكلة لمنظمة أخرى حل مقبول؟ لماذا أو لم لا؟</w:t>
      </w:r>
    </w:p>
    <w:p w14:paraId="6EAF6066" w14:textId="77777777" w:rsidR="004316CE" w:rsidRPr="00D629D8" w:rsidRDefault="004316CE" w:rsidP="000E4553">
      <w:pPr>
        <w:pStyle w:val="ataNumberedList"/>
        <w:ind w:left="360" w:firstLine="0"/>
        <w:rPr>
          <w:i/>
          <w:color w:val="000000" w:themeColor="text1"/>
          <w:sz w:val="27"/>
          <w:szCs w:val="27"/>
        </w:rPr>
      </w:pPr>
    </w:p>
    <w:tbl>
      <w:tblPr>
        <w:tblStyle w:val="TableGrid"/>
        <w:bidiVisual/>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496"/>
      </w:tblGrid>
      <w:tr w:rsidR="00A534B1" w:rsidRPr="00D629D8" w14:paraId="152FED60" w14:textId="77777777" w:rsidTr="00A534B1">
        <w:tc>
          <w:tcPr>
            <w:tcW w:w="8856" w:type="dxa"/>
          </w:tcPr>
          <w:p w14:paraId="614E556C" w14:textId="77777777" w:rsidR="00A534B1" w:rsidRPr="00D629D8" w:rsidRDefault="00A534B1" w:rsidP="00BE792B">
            <w:pPr>
              <w:pStyle w:val="ataNumberedList"/>
              <w:ind w:left="0" w:firstLine="0"/>
              <w:rPr>
                <w:i/>
                <w:color w:val="000000" w:themeColor="text1"/>
                <w:sz w:val="27"/>
                <w:szCs w:val="27"/>
              </w:rPr>
            </w:pPr>
          </w:p>
        </w:tc>
      </w:tr>
      <w:tr w:rsidR="00A534B1" w:rsidRPr="00D629D8" w14:paraId="13D4FC2F" w14:textId="77777777" w:rsidTr="00A534B1">
        <w:trPr>
          <w:trHeight w:val="720"/>
        </w:trPr>
        <w:tc>
          <w:tcPr>
            <w:tcW w:w="8856" w:type="dxa"/>
          </w:tcPr>
          <w:p w14:paraId="270F5FA5" w14:textId="340DB490" w:rsidR="00A534B1" w:rsidRPr="00D629D8" w:rsidRDefault="00A534B1" w:rsidP="00F73EB7">
            <w:pPr>
              <w:pStyle w:val="ATABulletLevel01BodySlide"/>
              <w:numPr>
                <w:ilvl w:val="0"/>
                <w:numId w:val="0"/>
              </w:numPr>
              <w:ind w:left="360"/>
              <w:rPr>
                <w:sz w:val="27"/>
                <w:szCs w:val="27"/>
              </w:rPr>
            </w:pPr>
          </w:p>
        </w:tc>
      </w:tr>
      <w:tr w:rsidR="00A534B1" w:rsidRPr="00D629D8" w14:paraId="358840B8" w14:textId="77777777" w:rsidTr="00A534B1">
        <w:trPr>
          <w:trHeight w:val="720"/>
        </w:trPr>
        <w:tc>
          <w:tcPr>
            <w:tcW w:w="8856" w:type="dxa"/>
          </w:tcPr>
          <w:p w14:paraId="6CDB563D" w14:textId="11B5F81D" w:rsidR="00A534B1" w:rsidRPr="00D629D8" w:rsidRDefault="00A534B1" w:rsidP="00BE792B">
            <w:pPr>
              <w:pStyle w:val="ataNumberedList"/>
              <w:ind w:left="0" w:firstLine="0"/>
              <w:rPr>
                <w:i/>
                <w:color w:val="000000" w:themeColor="text1"/>
                <w:sz w:val="27"/>
                <w:szCs w:val="27"/>
              </w:rPr>
            </w:pPr>
          </w:p>
        </w:tc>
      </w:tr>
      <w:tr w:rsidR="00A534B1" w:rsidRPr="00D629D8" w14:paraId="596BB7FC" w14:textId="77777777" w:rsidTr="00A534B1">
        <w:trPr>
          <w:trHeight w:val="720"/>
        </w:trPr>
        <w:tc>
          <w:tcPr>
            <w:tcW w:w="8856" w:type="dxa"/>
          </w:tcPr>
          <w:p w14:paraId="4727B586" w14:textId="681ACE39" w:rsidR="00A534B1" w:rsidRPr="00D629D8" w:rsidRDefault="00A534B1" w:rsidP="00BE792B">
            <w:pPr>
              <w:pStyle w:val="ataNumberedList"/>
              <w:ind w:left="0" w:firstLine="0"/>
              <w:rPr>
                <w:color w:val="000000" w:themeColor="text1"/>
                <w:sz w:val="27"/>
                <w:szCs w:val="27"/>
              </w:rPr>
            </w:pPr>
          </w:p>
        </w:tc>
      </w:tr>
      <w:tr w:rsidR="00FD45C3" w:rsidRPr="00D629D8" w14:paraId="2F1E715E" w14:textId="77777777" w:rsidTr="00A534B1">
        <w:trPr>
          <w:trHeight w:val="720"/>
        </w:trPr>
        <w:tc>
          <w:tcPr>
            <w:tcW w:w="8856" w:type="dxa"/>
          </w:tcPr>
          <w:p w14:paraId="2323CA8E" w14:textId="77777777" w:rsidR="00FD45C3" w:rsidRPr="00D629D8" w:rsidRDefault="00FD45C3" w:rsidP="00BE792B">
            <w:pPr>
              <w:pStyle w:val="ataNumberedList"/>
              <w:ind w:left="0" w:firstLine="0"/>
              <w:rPr>
                <w:color w:val="000000" w:themeColor="text1"/>
                <w:sz w:val="27"/>
                <w:szCs w:val="27"/>
              </w:rPr>
            </w:pPr>
          </w:p>
        </w:tc>
      </w:tr>
      <w:tr w:rsidR="00FD45C3" w:rsidRPr="00D629D8" w14:paraId="7DD3B5C1" w14:textId="77777777" w:rsidTr="00A534B1">
        <w:trPr>
          <w:trHeight w:val="720"/>
        </w:trPr>
        <w:tc>
          <w:tcPr>
            <w:tcW w:w="8856" w:type="dxa"/>
          </w:tcPr>
          <w:p w14:paraId="6C7273DC" w14:textId="77777777" w:rsidR="00FD45C3" w:rsidRPr="00D629D8" w:rsidRDefault="00FD45C3" w:rsidP="00BE792B">
            <w:pPr>
              <w:pStyle w:val="ataNumberedList"/>
              <w:ind w:left="0" w:firstLine="0"/>
              <w:rPr>
                <w:color w:val="000000" w:themeColor="text1"/>
                <w:sz w:val="27"/>
                <w:szCs w:val="27"/>
              </w:rPr>
            </w:pPr>
          </w:p>
        </w:tc>
      </w:tr>
    </w:tbl>
    <w:p w14:paraId="3979CEE0" w14:textId="440B2E2E" w:rsidR="000E4553" w:rsidRPr="00D629D8" w:rsidRDefault="000E4553" w:rsidP="000E4553">
      <w:pPr>
        <w:pStyle w:val="ataNumberedList"/>
        <w:ind w:left="360" w:firstLine="0"/>
        <w:rPr>
          <w:color w:val="000000" w:themeColor="text1"/>
          <w:sz w:val="27"/>
          <w:szCs w:val="27"/>
        </w:rPr>
      </w:pPr>
    </w:p>
    <w:p w14:paraId="1102395A" w14:textId="7D48B072" w:rsidR="000E4553" w:rsidRPr="00D629D8" w:rsidRDefault="004F2DE4" w:rsidP="000E4553">
      <w:pPr>
        <w:ind w:left="360"/>
        <w:rPr>
          <w:sz w:val="27"/>
          <w:szCs w:val="27"/>
        </w:rPr>
      </w:pPr>
      <w:r>
        <w:rPr>
          <w:sz w:val="27"/>
          <w:szCs w:val="27"/>
        </w:rPr>
        <w:lastRenderedPageBreak/>
        <w:br/>
      </w:r>
    </w:p>
    <w:p w14:paraId="1D5EF13D" w14:textId="0B8C6E0C" w:rsidR="000E4553" w:rsidRPr="004F2DE4" w:rsidRDefault="00A534B1" w:rsidP="00B253C4">
      <w:pPr>
        <w:pStyle w:val="ATANumLevel01BodySlide"/>
        <w:rPr>
          <w:rStyle w:val="ATAEmphasis"/>
          <w:b w:val="0"/>
          <w:bCs/>
          <w:sz w:val="27"/>
          <w:szCs w:val="27"/>
        </w:rPr>
      </w:pPr>
      <w:r w:rsidRPr="004F2DE4">
        <w:rPr>
          <w:rStyle w:val="ATAEmphasis"/>
          <w:b w:val="0"/>
          <w:bCs/>
          <w:sz w:val="27"/>
          <w:szCs w:val="27"/>
        </w:rPr>
        <w:t xml:space="preserve">هل خيار قبول المسؤولية حل مقبول؟ </w:t>
      </w:r>
    </w:p>
    <w:p w14:paraId="251052C9" w14:textId="77777777" w:rsidR="00A534B1" w:rsidRPr="00D629D8" w:rsidRDefault="00A534B1" w:rsidP="000E4553">
      <w:pPr>
        <w:pStyle w:val="ataNumberedList"/>
        <w:ind w:left="360" w:firstLine="0"/>
        <w:rPr>
          <w:i/>
          <w:color w:val="000000" w:themeColor="text1"/>
          <w:sz w:val="27"/>
          <w:szCs w:val="27"/>
        </w:rPr>
      </w:pPr>
    </w:p>
    <w:p w14:paraId="5B9D556D" w14:textId="77777777" w:rsidR="00FD45C3" w:rsidRPr="00D629D8" w:rsidRDefault="00FD45C3" w:rsidP="000E4553">
      <w:pPr>
        <w:pStyle w:val="ataNumberedList"/>
        <w:ind w:left="360" w:firstLine="0"/>
        <w:rPr>
          <w:i/>
          <w:color w:val="000000" w:themeColor="text1"/>
          <w:sz w:val="27"/>
          <w:szCs w:val="27"/>
        </w:rPr>
      </w:pPr>
    </w:p>
    <w:tbl>
      <w:tblPr>
        <w:tblStyle w:val="TableGrid"/>
        <w:bidiVisual/>
        <w:tblW w:w="0" w:type="auto"/>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A534B1" w:rsidRPr="00D629D8" w14:paraId="5A69B9F8" w14:textId="77777777" w:rsidTr="00FD45C3">
        <w:trPr>
          <w:trHeight w:val="720"/>
        </w:trPr>
        <w:tc>
          <w:tcPr>
            <w:tcW w:w="8856" w:type="dxa"/>
            <w:tcBorders>
              <w:bottom w:val="single" w:sz="4" w:space="0" w:color="auto"/>
            </w:tcBorders>
            <w:vAlign w:val="center"/>
          </w:tcPr>
          <w:p w14:paraId="5DC14465" w14:textId="1EC1D19C" w:rsidR="00A534B1" w:rsidRPr="00D629D8" w:rsidRDefault="00A534B1" w:rsidP="00A534B1">
            <w:pPr>
              <w:pStyle w:val="ataNumberedList"/>
              <w:ind w:left="0" w:firstLine="0"/>
              <w:rPr>
                <w:color w:val="000000" w:themeColor="text1"/>
                <w:sz w:val="27"/>
                <w:szCs w:val="27"/>
              </w:rPr>
            </w:pPr>
          </w:p>
        </w:tc>
      </w:tr>
      <w:tr w:rsidR="00FD45C3" w:rsidRPr="00D629D8" w14:paraId="4AB64AA2" w14:textId="77777777" w:rsidTr="00FD45C3">
        <w:trPr>
          <w:trHeight w:val="720"/>
        </w:trPr>
        <w:tc>
          <w:tcPr>
            <w:tcW w:w="8856" w:type="dxa"/>
            <w:tcBorders>
              <w:top w:val="single" w:sz="4" w:space="0" w:color="auto"/>
              <w:bottom w:val="single" w:sz="4" w:space="0" w:color="auto"/>
            </w:tcBorders>
            <w:vAlign w:val="center"/>
          </w:tcPr>
          <w:p w14:paraId="191EB945" w14:textId="77777777" w:rsidR="00FD45C3" w:rsidRPr="00D629D8" w:rsidRDefault="00FD45C3" w:rsidP="00A534B1">
            <w:pPr>
              <w:pStyle w:val="ataNumberedList"/>
              <w:ind w:left="0" w:firstLine="0"/>
              <w:rPr>
                <w:color w:val="000000" w:themeColor="text1"/>
                <w:sz w:val="27"/>
                <w:szCs w:val="27"/>
              </w:rPr>
            </w:pPr>
          </w:p>
        </w:tc>
      </w:tr>
      <w:tr w:rsidR="00FD45C3" w:rsidRPr="00D629D8" w14:paraId="6EB35C34" w14:textId="77777777" w:rsidTr="00FD45C3">
        <w:trPr>
          <w:trHeight w:val="720"/>
        </w:trPr>
        <w:tc>
          <w:tcPr>
            <w:tcW w:w="8856" w:type="dxa"/>
            <w:tcBorders>
              <w:top w:val="single" w:sz="4" w:space="0" w:color="auto"/>
              <w:bottom w:val="single" w:sz="4" w:space="0" w:color="auto"/>
            </w:tcBorders>
            <w:vAlign w:val="center"/>
          </w:tcPr>
          <w:p w14:paraId="4D9881AB" w14:textId="77777777" w:rsidR="00FD45C3" w:rsidRPr="00D629D8" w:rsidRDefault="00FD45C3" w:rsidP="00A534B1">
            <w:pPr>
              <w:pStyle w:val="ataNumberedList"/>
              <w:ind w:left="0" w:firstLine="0"/>
              <w:rPr>
                <w:color w:val="000000" w:themeColor="text1"/>
                <w:sz w:val="27"/>
                <w:szCs w:val="27"/>
              </w:rPr>
            </w:pPr>
          </w:p>
        </w:tc>
      </w:tr>
    </w:tbl>
    <w:p w14:paraId="26A490D2" w14:textId="77777777" w:rsidR="000E4553" w:rsidRPr="00D629D8" w:rsidRDefault="000E4553" w:rsidP="000E4553">
      <w:pPr>
        <w:ind w:left="360"/>
        <w:rPr>
          <w:sz w:val="27"/>
          <w:szCs w:val="27"/>
        </w:rPr>
      </w:pPr>
    </w:p>
    <w:p w14:paraId="37207122" w14:textId="3DEFFD70" w:rsidR="00F73EB7" w:rsidRPr="004F2DE4" w:rsidRDefault="00F73EB7">
      <w:pPr>
        <w:rPr>
          <w:rStyle w:val="ATAEmphasis"/>
          <w:b w:val="0"/>
          <w:bCs/>
          <w:sz w:val="27"/>
          <w:szCs w:val="27"/>
        </w:rPr>
      </w:pPr>
    </w:p>
    <w:p w14:paraId="1254861C" w14:textId="67F82E98" w:rsidR="000E4553" w:rsidRPr="004F2DE4" w:rsidRDefault="000E4553" w:rsidP="00B253C4">
      <w:pPr>
        <w:pStyle w:val="ATANumLevel01BodySlide"/>
        <w:rPr>
          <w:rStyle w:val="ATAEmphasis"/>
          <w:b w:val="0"/>
          <w:bCs/>
          <w:sz w:val="27"/>
          <w:szCs w:val="27"/>
        </w:rPr>
      </w:pPr>
      <w:r w:rsidRPr="004F2DE4">
        <w:rPr>
          <w:rStyle w:val="ATAEmphasis"/>
          <w:b w:val="0"/>
          <w:bCs/>
          <w:sz w:val="27"/>
          <w:szCs w:val="27"/>
        </w:rPr>
        <w:t>كيف تتمكن المنظمة من تخفيف آثار المخاطر؟</w:t>
      </w:r>
    </w:p>
    <w:p w14:paraId="559D311F" w14:textId="77777777" w:rsidR="00A534B1" w:rsidRPr="00D629D8" w:rsidRDefault="00A534B1" w:rsidP="000E4553">
      <w:pPr>
        <w:pStyle w:val="ataNumberedList"/>
        <w:ind w:left="360" w:firstLine="0"/>
        <w:rPr>
          <w:i/>
          <w:color w:val="000000" w:themeColor="text1"/>
          <w:sz w:val="27"/>
          <w:szCs w:val="27"/>
        </w:rPr>
      </w:pPr>
    </w:p>
    <w:tbl>
      <w:tblPr>
        <w:tblStyle w:val="TableGrid"/>
        <w:bidiVisual/>
        <w:tblW w:w="0" w:type="auto"/>
        <w:tblInd w:w="360" w:type="dxa"/>
        <w:tblBorders>
          <w:top w:val="none" w:sz="0" w:space="0" w:color="auto"/>
          <w:left w:val="none" w:sz="0" w:space="0" w:color="auto"/>
          <w:right w:val="none" w:sz="0" w:space="0" w:color="auto"/>
        </w:tblBorders>
        <w:tblLook w:val="04A0" w:firstRow="1" w:lastRow="0" w:firstColumn="1" w:lastColumn="0" w:noHBand="0" w:noVBand="1"/>
      </w:tblPr>
      <w:tblGrid>
        <w:gridCol w:w="8496"/>
      </w:tblGrid>
      <w:tr w:rsidR="00806C0D" w:rsidRPr="00D629D8" w14:paraId="4703A612" w14:textId="77777777" w:rsidTr="00806C0D">
        <w:tc>
          <w:tcPr>
            <w:tcW w:w="8856" w:type="dxa"/>
          </w:tcPr>
          <w:p w14:paraId="0E6154EC" w14:textId="77777777" w:rsidR="00806C0D" w:rsidRPr="00D629D8" w:rsidRDefault="00806C0D" w:rsidP="00B4485C">
            <w:pPr>
              <w:pStyle w:val="ataNumberedList"/>
              <w:ind w:left="0" w:firstLine="0"/>
              <w:rPr>
                <w:i/>
                <w:color w:val="000000" w:themeColor="text1"/>
                <w:sz w:val="27"/>
                <w:szCs w:val="27"/>
              </w:rPr>
            </w:pPr>
          </w:p>
        </w:tc>
      </w:tr>
      <w:tr w:rsidR="00A534B1" w:rsidRPr="00D629D8" w14:paraId="40C4E297" w14:textId="77777777" w:rsidTr="00806C0D">
        <w:trPr>
          <w:trHeight w:val="720"/>
        </w:trPr>
        <w:tc>
          <w:tcPr>
            <w:tcW w:w="8856" w:type="dxa"/>
          </w:tcPr>
          <w:p w14:paraId="41ED1ED6" w14:textId="48B3C68A" w:rsidR="00A534B1" w:rsidRPr="00D629D8" w:rsidRDefault="00A534B1" w:rsidP="00F73EB7">
            <w:pPr>
              <w:pStyle w:val="ATABulletLevel01BodySlide"/>
              <w:numPr>
                <w:ilvl w:val="0"/>
                <w:numId w:val="0"/>
              </w:numPr>
              <w:ind w:left="360"/>
              <w:rPr>
                <w:i/>
                <w:sz w:val="27"/>
                <w:szCs w:val="27"/>
              </w:rPr>
            </w:pPr>
          </w:p>
        </w:tc>
      </w:tr>
      <w:tr w:rsidR="00806C0D" w:rsidRPr="00D629D8" w14:paraId="6F65D346" w14:textId="77777777" w:rsidTr="00806C0D">
        <w:trPr>
          <w:trHeight w:val="720"/>
        </w:trPr>
        <w:tc>
          <w:tcPr>
            <w:tcW w:w="8856" w:type="dxa"/>
          </w:tcPr>
          <w:p w14:paraId="09FAA3AD" w14:textId="77777777" w:rsidR="00806C0D" w:rsidRPr="00D629D8" w:rsidRDefault="00806C0D" w:rsidP="00B4485C">
            <w:pPr>
              <w:pStyle w:val="ataNumberedList"/>
              <w:ind w:left="0" w:firstLine="0"/>
              <w:rPr>
                <w:i/>
                <w:color w:val="000000" w:themeColor="text1"/>
                <w:sz w:val="27"/>
                <w:szCs w:val="27"/>
              </w:rPr>
            </w:pPr>
          </w:p>
        </w:tc>
      </w:tr>
      <w:tr w:rsidR="00806C0D" w:rsidRPr="00D629D8" w14:paraId="3EB35D46" w14:textId="77777777" w:rsidTr="00806C0D">
        <w:trPr>
          <w:trHeight w:val="720"/>
        </w:trPr>
        <w:tc>
          <w:tcPr>
            <w:tcW w:w="8856" w:type="dxa"/>
          </w:tcPr>
          <w:p w14:paraId="7FD58DF1" w14:textId="77777777" w:rsidR="00806C0D" w:rsidRPr="00D629D8" w:rsidRDefault="00806C0D" w:rsidP="00B4485C">
            <w:pPr>
              <w:pStyle w:val="ataNumberedList"/>
              <w:ind w:left="0" w:firstLine="0"/>
              <w:rPr>
                <w:i/>
                <w:color w:val="000000" w:themeColor="text1"/>
                <w:sz w:val="27"/>
                <w:szCs w:val="27"/>
              </w:rPr>
            </w:pPr>
          </w:p>
        </w:tc>
      </w:tr>
      <w:tr w:rsidR="00FD45C3" w:rsidRPr="00D629D8" w14:paraId="15A7D808" w14:textId="77777777" w:rsidTr="00806C0D">
        <w:trPr>
          <w:trHeight w:val="720"/>
        </w:trPr>
        <w:tc>
          <w:tcPr>
            <w:tcW w:w="8856" w:type="dxa"/>
          </w:tcPr>
          <w:p w14:paraId="4A3CB2E5" w14:textId="77777777" w:rsidR="00FD45C3" w:rsidRPr="00D629D8" w:rsidRDefault="00FD45C3" w:rsidP="00B4485C">
            <w:pPr>
              <w:pStyle w:val="ataNumberedList"/>
              <w:ind w:left="0" w:firstLine="0"/>
              <w:rPr>
                <w:i/>
                <w:color w:val="000000" w:themeColor="text1"/>
                <w:sz w:val="27"/>
                <w:szCs w:val="27"/>
              </w:rPr>
            </w:pPr>
          </w:p>
        </w:tc>
      </w:tr>
      <w:tr w:rsidR="00FD45C3" w:rsidRPr="00D629D8" w14:paraId="5A672CDE" w14:textId="77777777" w:rsidTr="00806C0D">
        <w:trPr>
          <w:trHeight w:val="720"/>
        </w:trPr>
        <w:tc>
          <w:tcPr>
            <w:tcW w:w="8856" w:type="dxa"/>
          </w:tcPr>
          <w:p w14:paraId="12DA43C9" w14:textId="77777777" w:rsidR="00FD45C3" w:rsidRPr="00D629D8" w:rsidRDefault="00FD45C3" w:rsidP="00B4485C">
            <w:pPr>
              <w:pStyle w:val="ataNumberedList"/>
              <w:ind w:left="0" w:firstLine="0"/>
              <w:rPr>
                <w:i/>
                <w:color w:val="000000" w:themeColor="text1"/>
                <w:sz w:val="27"/>
                <w:szCs w:val="27"/>
              </w:rPr>
            </w:pPr>
          </w:p>
        </w:tc>
      </w:tr>
    </w:tbl>
    <w:p w14:paraId="36BA82AD" w14:textId="77777777" w:rsidR="000E4553" w:rsidRPr="00D629D8" w:rsidRDefault="000E4553" w:rsidP="000E4553">
      <w:pPr>
        <w:rPr>
          <w:rFonts w:ascii="Cambria" w:hAnsi="Cambria"/>
          <w:sz w:val="27"/>
          <w:szCs w:val="27"/>
        </w:rPr>
      </w:pPr>
    </w:p>
    <w:p w14:paraId="624D4EA2" w14:textId="77777777" w:rsidR="000E4553" w:rsidRPr="00D629D8" w:rsidRDefault="000E4553" w:rsidP="000E4553">
      <w:pPr>
        <w:spacing w:after="200" w:line="276" w:lineRule="auto"/>
        <w:rPr>
          <w:rFonts w:ascii="Cambria" w:hAnsi="Cambria"/>
          <w:sz w:val="27"/>
          <w:szCs w:val="27"/>
        </w:rPr>
      </w:pPr>
      <w:r w:rsidRPr="00D629D8">
        <w:rPr>
          <w:sz w:val="27"/>
          <w:szCs w:val="27"/>
        </w:rPr>
        <w:br w:type="page"/>
      </w:r>
    </w:p>
    <w:p w14:paraId="4ACE8A8C" w14:textId="373E0CAD" w:rsidR="002A20FD" w:rsidRPr="004F2DE4" w:rsidRDefault="002A20FD" w:rsidP="00B253C4">
      <w:pPr>
        <w:pStyle w:val="ATAHeadingLevel1"/>
        <w:rPr>
          <w:b w:val="0"/>
          <w:bCs/>
          <w:sz w:val="27"/>
          <w:szCs w:val="27"/>
        </w:rPr>
      </w:pPr>
      <w:r w:rsidRPr="004F2DE4">
        <w:rPr>
          <w:b w:val="0"/>
          <w:bCs/>
          <w:sz w:val="27"/>
          <w:szCs w:val="27"/>
        </w:rPr>
        <w:lastRenderedPageBreak/>
        <w:t>إجراء تحليل الفجوة: أجهزة الإستشعار بالسياج، تابع</w:t>
      </w:r>
    </w:p>
    <w:p w14:paraId="70A5F3B3" w14:textId="178E5AD1" w:rsidR="002A20FD" w:rsidRPr="004F2DE4" w:rsidRDefault="002A20FD" w:rsidP="00B253C4">
      <w:pPr>
        <w:pStyle w:val="ATAHeadingLevel2"/>
        <w:rPr>
          <w:b w:val="0"/>
          <w:bCs/>
          <w:sz w:val="27"/>
          <w:szCs w:val="27"/>
        </w:rPr>
      </w:pPr>
      <w:r w:rsidRPr="004F2DE4">
        <w:rPr>
          <w:b w:val="0"/>
          <w:bCs/>
          <w:sz w:val="27"/>
          <w:szCs w:val="27"/>
        </w:rPr>
        <w:t xml:space="preserve">الخطوة 4: تعريف خطة إدارة المخاطر </w:t>
      </w:r>
    </w:p>
    <w:p w14:paraId="25E84CAB" w14:textId="77777777" w:rsidR="00806C0D" w:rsidRPr="00D629D8" w:rsidRDefault="002A20FD" w:rsidP="00B253C4">
      <w:pPr>
        <w:pStyle w:val="ATABody"/>
        <w:rPr>
          <w:sz w:val="27"/>
          <w:szCs w:val="27"/>
        </w:rPr>
      </w:pPr>
      <w:r w:rsidRPr="00D629D8">
        <w:rPr>
          <w:sz w:val="27"/>
          <w:szCs w:val="27"/>
        </w:rPr>
        <w:t xml:space="preserve">حبذ الفريق الخيار 3 — أن تتحمل المنظمة المسؤولية. </w:t>
      </w:r>
    </w:p>
    <w:p w14:paraId="207FAB25" w14:textId="3E8325DA" w:rsidR="00806C0D" w:rsidRPr="004F2DE4" w:rsidRDefault="002A20FD" w:rsidP="00806C0D">
      <w:pPr>
        <w:pStyle w:val="ATABulletLevel01BodySlide"/>
        <w:rPr>
          <w:b/>
          <w:bCs w:val="0"/>
          <w:sz w:val="27"/>
          <w:szCs w:val="27"/>
        </w:rPr>
      </w:pPr>
      <w:r w:rsidRPr="004F2DE4">
        <w:rPr>
          <w:b/>
          <w:bCs w:val="0"/>
          <w:sz w:val="27"/>
          <w:szCs w:val="27"/>
        </w:rPr>
        <w:t xml:space="preserve">ونتيجة لذلك، على المدى القصير (في غضون الترتيبات الجارية لإستبدال أجهزة الاستشعار)، تقرر تعيين أحد أفراد الأمن للمرابطة والتمركز بالمنطقة التالفة من السياج </w:t>
      </w:r>
      <w:r w:rsidR="00CA2EB8" w:rsidRPr="004F2DE4">
        <w:rPr>
          <w:rFonts w:hint="cs"/>
          <w:b/>
          <w:bCs w:val="0"/>
          <w:sz w:val="27"/>
          <w:szCs w:val="27"/>
        </w:rPr>
        <w:t>حتى</w:t>
      </w:r>
      <w:r w:rsidRPr="004F2DE4">
        <w:rPr>
          <w:b/>
          <w:bCs w:val="0"/>
          <w:sz w:val="27"/>
          <w:szCs w:val="27"/>
        </w:rPr>
        <w:t xml:space="preserve"> يتم إصلاح جهاز الإستشعار واستكمال كافة أعمال الإستبدال. </w:t>
      </w:r>
    </w:p>
    <w:p w14:paraId="298307E0" w14:textId="5CD560FD" w:rsidR="002A20FD" w:rsidRPr="004F2DE4" w:rsidRDefault="002A20FD" w:rsidP="00806C0D">
      <w:pPr>
        <w:pStyle w:val="ATABulletLevel01BodySlide"/>
        <w:rPr>
          <w:b/>
          <w:bCs w:val="0"/>
          <w:sz w:val="27"/>
          <w:szCs w:val="27"/>
        </w:rPr>
      </w:pPr>
      <w:r w:rsidRPr="004F2DE4">
        <w:rPr>
          <w:b/>
          <w:bCs w:val="0"/>
          <w:sz w:val="27"/>
          <w:szCs w:val="27"/>
        </w:rPr>
        <w:t>وعلى المدى الطويل، تقدم الفريق بطلب رسمي للمنظمة بالنظر في استبدال جميع أجهزة الاستشعار إذا اتضح أن المشكلة منهجية وتعم كافة القطاعات.</w:t>
      </w:r>
    </w:p>
    <w:p w14:paraId="22D1DACB" w14:textId="77777777" w:rsidR="002A20FD" w:rsidRPr="00D629D8" w:rsidRDefault="002A20FD" w:rsidP="00B253C4">
      <w:pPr>
        <w:pStyle w:val="ATABody"/>
        <w:rPr>
          <w:sz w:val="27"/>
          <w:szCs w:val="27"/>
        </w:rPr>
      </w:pPr>
    </w:p>
    <w:p w14:paraId="00F6ACBF" w14:textId="77777777" w:rsidR="00806C0D" w:rsidRPr="00D629D8" w:rsidRDefault="002A20FD" w:rsidP="00B253C4">
      <w:pPr>
        <w:pStyle w:val="ATABody"/>
        <w:rPr>
          <w:sz w:val="27"/>
          <w:szCs w:val="27"/>
        </w:rPr>
      </w:pPr>
      <w:r w:rsidRPr="00D629D8">
        <w:rPr>
          <w:sz w:val="27"/>
          <w:szCs w:val="27"/>
        </w:rPr>
        <w:t xml:space="preserve">ويتضمن الخيار عددا من القرارات الواجب اتخاذها والتي تؤثر على سائر القطاعات الداخلية والخارجية بالمنظمة. </w:t>
      </w:r>
    </w:p>
    <w:p w14:paraId="4BA18181" w14:textId="77777777" w:rsidR="00806C0D" w:rsidRPr="00CA2EB8" w:rsidRDefault="002A20FD" w:rsidP="00806C0D">
      <w:pPr>
        <w:pStyle w:val="ATABulletLevel01BodySlide"/>
        <w:rPr>
          <w:b/>
          <w:bCs w:val="0"/>
          <w:sz w:val="27"/>
          <w:szCs w:val="27"/>
        </w:rPr>
      </w:pPr>
      <w:r w:rsidRPr="00CA2EB8">
        <w:rPr>
          <w:b/>
          <w:bCs w:val="0"/>
          <w:sz w:val="27"/>
          <w:szCs w:val="27"/>
        </w:rPr>
        <w:t xml:space="preserve">فالمنظمة، على سبيل المثال، بصدد إصدار عقد مع مقاول خارجي للقيام باستبدال الجزء التالف من السياج. </w:t>
      </w:r>
    </w:p>
    <w:p w14:paraId="1AB06EEA" w14:textId="77777777" w:rsidR="00806C0D" w:rsidRPr="00CA2EB8" w:rsidRDefault="002A20FD" w:rsidP="00806C0D">
      <w:pPr>
        <w:pStyle w:val="ATABulletLevel01BodySlide"/>
        <w:rPr>
          <w:b/>
          <w:bCs w:val="0"/>
          <w:sz w:val="27"/>
          <w:szCs w:val="27"/>
        </w:rPr>
      </w:pPr>
      <w:r w:rsidRPr="00CA2EB8">
        <w:rPr>
          <w:b/>
          <w:bCs w:val="0"/>
          <w:sz w:val="27"/>
          <w:szCs w:val="27"/>
        </w:rPr>
        <w:t xml:space="preserve">بالإضافة لذلك، قد يتطلب تخصيص فرد أمن للبقاء الدائم بموقع السياج التالف تعيين قوات إضافية من أفراد الأمن وتحمل تكلفة ساعات عمل إضافية. </w:t>
      </w:r>
    </w:p>
    <w:p w14:paraId="67C35CFC" w14:textId="724453F8" w:rsidR="002A20FD" w:rsidRPr="00CA2EB8" w:rsidRDefault="002A20FD" w:rsidP="00806C0D">
      <w:pPr>
        <w:pStyle w:val="ATABulletLevel01BodySlide"/>
        <w:rPr>
          <w:b/>
          <w:bCs w:val="0"/>
          <w:sz w:val="27"/>
          <w:szCs w:val="27"/>
        </w:rPr>
      </w:pPr>
      <w:r w:rsidRPr="00CA2EB8">
        <w:rPr>
          <w:b/>
          <w:bCs w:val="0"/>
          <w:sz w:val="27"/>
          <w:szCs w:val="27"/>
        </w:rPr>
        <w:t xml:space="preserve">وفي المستقبل، يتعين على المنظمة التفكير في الأمور المالية ومتطلبات القوة الأمنية مرة أخرى عند استبدال أجهزة الاستشعار في مناطق أخرى. </w:t>
      </w:r>
    </w:p>
    <w:p w14:paraId="4CD31513" w14:textId="77777777" w:rsidR="000E4553" w:rsidRPr="00CA2EB8" w:rsidRDefault="000E4553" w:rsidP="002A20FD">
      <w:pPr>
        <w:pStyle w:val="ATABody"/>
        <w:rPr>
          <w:b/>
          <w:sz w:val="27"/>
          <w:szCs w:val="27"/>
        </w:rPr>
      </w:pPr>
    </w:p>
    <w:p w14:paraId="5CFC8901" w14:textId="77777777" w:rsidR="000E4553" w:rsidRPr="00D629D8" w:rsidRDefault="000E4553" w:rsidP="000E4553">
      <w:pPr>
        <w:rPr>
          <w:sz w:val="27"/>
          <w:szCs w:val="27"/>
        </w:rPr>
      </w:pPr>
    </w:p>
    <w:sectPr w:rsidR="000E4553" w:rsidRPr="00D629D8" w:rsidSect="001B7545">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A22C5" w14:textId="77777777" w:rsidR="000A62BF" w:rsidRDefault="000A62BF" w:rsidP="00C82114">
      <w:r>
        <w:separator/>
      </w:r>
    </w:p>
  </w:endnote>
  <w:endnote w:type="continuationSeparator" w:id="0">
    <w:p w14:paraId="5C222D69" w14:textId="77777777" w:rsidR="000A62BF" w:rsidRDefault="000A62BF"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D629D8" w14:paraId="71936FD1" w14:textId="77777777" w:rsidTr="00D629D8">
      <w:tc>
        <w:tcPr>
          <w:tcW w:w="8100" w:type="dxa"/>
          <w:shd w:val="clear" w:color="auto" w:fill="auto"/>
        </w:tcPr>
        <w:p w14:paraId="5359AD27" w14:textId="0BD57D05" w:rsidR="00C305B2" w:rsidRPr="00D629D8" w:rsidRDefault="00525366" w:rsidP="00D629D8">
          <w:pPr>
            <w:pStyle w:val="ATAFooter"/>
            <w:bidi w:val="0"/>
            <w:rPr>
              <w:rStyle w:val="ATAFooterChar"/>
              <w:rFonts w:eastAsia="Arial Unicode MS"/>
              <w:color w:val="000000" w:themeColor="text1"/>
              <w:szCs w:val="18"/>
            </w:rPr>
          </w:pPr>
          <w:r w:rsidRPr="00D629D8">
            <w:rPr>
              <w:color w:val="000000" w:themeColor="text1"/>
              <w:szCs w:val="18"/>
              <w:rtl w:val="0"/>
            </w:rPr>
            <w:t xml:space="preserve">Critical Infrastructure Security and Resilience (CISR) </w:t>
          </w:r>
          <w:r w:rsidRPr="00D629D8">
            <w:rPr>
              <w:rStyle w:val="PlaceholderText"/>
              <w:color w:val="000000" w:themeColor="text1"/>
              <w:szCs w:val="18"/>
              <w:rtl w:val="0"/>
            </w:rPr>
            <w:t>v4.00</w:t>
          </w:r>
        </w:p>
      </w:tc>
      <w:tc>
        <w:tcPr>
          <w:tcW w:w="1260" w:type="dxa"/>
          <w:shd w:val="clear" w:color="auto" w:fill="auto"/>
        </w:tcPr>
        <w:p w14:paraId="325492E0" w14:textId="0E100599" w:rsidR="00C305B2" w:rsidRPr="00D629D8" w:rsidRDefault="00C305B2" w:rsidP="00D629D8">
          <w:pPr>
            <w:pStyle w:val="ATAFooter"/>
            <w:bidi w:val="0"/>
            <w:jc w:val="right"/>
            <w:rPr>
              <w:szCs w:val="18"/>
            </w:rPr>
          </w:pPr>
          <w:r w:rsidRPr="00D629D8">
            <w:rPr>
              <w:rStyle w:val="ATAFooterChar"/>
              <w:szCs w:val="18"/>
              <w:rtl w:val="0"/>
            </w:rPr>
            <w:t xml:space="preserve">Page </w:t>
          </w:r>
          <w:r w:rsidRPr="00D629D8">
            <w:rPr>
              <w:rStyle w:val="ATAFooterChar"/>
              <w:rFonts w:eastAsia="Arial Unicode MS"/>
              <w:szCs w:val="18"/>
            </w:rPr>
            <w:fldChar w:fldCharType="begin"/>
          </w:r>
          <w:r w:rsidRPr="00D629D8">
            <w:rPr>
              <w:rStyle w:val="ATAFooterChar"/>
              <w:rFonts w:eastAsia="Arial Unicode MS"/>
              <w:szCs w:val="18"/>
            </w:rPr>
            <w:instrText xml:space="preserve"> PAGE </w:instrText>
          </w:r>
          <w:r w:rsidRPr="00D629D8">
            <w:rPr>
              <w:rStyle w:val="ATAFooterChar"/>
              <w:rFonts w:eastAsia="Arial Unicode MS"/>
              <w:szCs w:val="18"/>
            </w:rPr>
            <w:fldChar w:fldCharType="separate"/>
          </w:r>
          <w:r w:rsidR="0099158C">
            <w:rPr>
              <w:rStyle w:val="ATAFooterChar"/>
              <w:rFonts w:eastAsia="Arial Unicode MS"/>
              <w:noProof/>
              <w:szCs w:val="18"/>
            </w:rPr>
            <w:t>1</w:t>
          </w:r>
          <w:r w:rsidRPr="00D629D8">
            <w:rPr>
              <w:rStyle w:val="ATAFooterChar"/>
              <w:rFonts w:eastAsia="Arial Unicode MS"/>
              <w:szCs w:val="18"/>
            </w:rPr>
            <w:fldChar w:fldCharType="end"/>
          </w:r>
          <w:r w:rsidRPr="00D629D8">
            <w:rPr>
              <w:rStyle w:val="ATAFooterChar"/>
              <w:szCs w:val="18"/>
              <w:rtl w:val="0"/>
            </w:rPr>
            <w:t xml:space="preserve"> of</w:t>
          </w:r>
          <w:r w:rsidR="00D629D8">
            <w:rPr>
              <w:rStyle w:val="ATAFooterChar"/>
              <w:szCs w:val="18"/>
              <w:rtl w:val="0"/>
            </w:rPr>
            <w:t xml:space="preserve"> </w:t>
          </w:r>
          <w:r w:rsidRPr="00D629D8">
            <w:rPr>
              <w:rStyle w:val="ATAFooterChar"/>
              <w:szCs w:val="18"/>
            </w:rPr>
            <w:t xml:space="preserve"> </w:t>
          </w:r>
          <w:r w:rsidRPr="00D629D8">
            <w:rPr>
              <w:rStyle w:val="ATAFooterChar"/>
              <w:rFonts w:eastAsia="Arial Unicode MS"/>
              <w:szCs w:val="18"/>
            </w:rPr>
            <w:fldChar w:fldCharType="begin"/>
          </w:r>
          <w:r w:rsidRPr="00D629D8">
            <w:rPr>
              <w:rStyle w:val="ATAFooterChar"/>
              <w:rFonts w:eastAsia="Arial Unicode MS"/>
              <w:szCs w:val="18"/>
            </w:rPr>
            <w:instrText xml:space="preserve"> NUMPAGES  \# "0"  \* MERGEFORMAT </w:instrText>
          </w:r>
          <w:r w:rsidRPr="00D629D8">
            <w:rPr>
              <w:rStyle w:val="ATAFooterChar"/>
              <w:rFonts w:eastAsia="Arial Unicode MS"/>
              <w:szCs w:val="18"/>
            </w:rPr>
            <w:fldChar w:fldCharType="separate"/>
          </w:r>
          <w:r w:rsidR="0099158C">
            <w:rPr>
              <w:rStyle w:val="ATAFooterChar"/>
              <w:rFonts w:eastAsia="Arial Unicode MS"/>
              <w:noProof/>
              <w:szCs w:val="18"/>
            </w:rPr>
            <w:t>6</w:t>
          </w:r>
          <w:r w:rsidRPr="00D629D8">
            <w:rPr>
              <w:rStyle w:val="ATAFooterChar"/>
              <w:rFonts w:eastAsia="Arial Unicode MS"/>
              <w:szCs w:val="18"/>
            </w:rPr>
            <w:fldChar w:fldCharType="end"/>
          </w:r>
        </w:p>
      </w:tc>
    </w:tr>
  </w:tbl>
  <w:p w14:paraId="403599F7"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F4B79" w14:textId="77777777" w:rsidR="000A62BF" w:rsidRDefault="000A62BF" w:rsidP="00C82114">
      <w:r>
        <w:separator/>
      </w:r>
    </w:p>
  </w:footnote>
  <w:footnote w:type="continuationSeparator" w:id="0">
    <w:p w14:paraId="718E324E" w14:textId="77777777" w:rsidR="000A62BF" w:rsidRDefault="000A62BF"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28"/>
      <w:gridCol w:w="4312"/>
    </w:tblGrid>
    <w:tr w:rsidR="000E4553" w:rsidRPr="00456B51" w14:paraId="65DF8508" w14:textId="77777777" w:rsidTr="00D629D8">
      <w:tc>
        <w:tcPr>
          <w:tcW w:w="4788" w:type="dxa"/>
          <w:shd w:val="clear" w:color="auto" w:fill="auto"/>
          <w:vAlign w:val="bottom"/>
        </w:tcPr>
        <w:p w14:paraId="36838D83" w14:textId="0C26098A" w:rsidR="008564F0" w:rsidRPr="00456B51" w:rsidRDefault="00F16234" w:rsidP="00D629D8">
          <w:pPr>
            <w:pStyle w:val="ATAHeader"/>
            <w:bidi w:val="0"/>
          </w:pPr>
          <w:r>
            <w:rPr>
              <w:rtl w:val="0"/>
            </w:rPr>
            <w:t>Module 15: Operational Resilience</w:t>
          </w:r>
        </w:p>
      </w:tc>
      <w:tc>
        <w:tcPr>
          <w:tcW w:w="4788" w:type="dxa"/>
          <w:shd w:val="clear" w:color="auto" w:fill="auto"/>
          <w:vAlign w:val="bottom"/>
        </w:tcPr>
        <w:p w14:paraId="6FD8A930" w14:textId="5281B2D4" w:rsidR="008564F0" w:rsidRPr="00456B51" w:rsidRDefault="002B45C6" w:rsidP="00D629D8">
          <w:pPr>
            <w:pStyle w:val="ATAHeader"/>
            <w:bidi w:val="0"/>
            <w:ind w:right="90"/>
            <w:jc w:val="right"/>
          </w:pPr>
          <w:r>
            <w:rPr>
              <w:rtl w:val="0"/>
            </w:rPr>
            <w:t>Handout</w:t>
          </w:r>
          <w:r w:rsidR="00377BC6">
            <w:rPr>
              <w:rtl w:val="0"/>
            </w:rPr>
            <w:t xml:space="preserve"> 15.1: Gap Analysis Scenario Activity</w:t>
          </w:r>
        </w:p>
      </w:tc>
    </w:tr>
  </w:tbl>
  <w:p w14:paraId="4AFF61A4" w14:textId="77777777" w:rsidR="008E31C0" w:rsidRDefault="008E31C0" w:rsidP="00160D7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0FC0BA34"/>
    <w:lvl w:ilvl="0" w:tplc="086EB424">
      <w:start w:val="1"/>
      <w:numFmt w:val="decimal"/>
      <w:pStyle w:val="ATANumLevel01BodySlide"/>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6"/>
  </w:num>
  <w:num w:numId="15">
    <w:abstractNumId w:val="15"/>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7"/>
  </w:num>
  <w:num w:numId="23">
    <w:abstractNumId w:val="20"/>
  </w:num>
  <w:num w:numId="24">
    <w:abstractNumId w:val="16"/>
  </w:num>
  <w:num w:numId="25">
    <w:abstractNumId w:val="24"/>
  </w:num>
  <w:num w:numId="26">
    <w:abstractNumId w:val="28"/>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3"/>
  </w:num>
  <w:num w:numId="34">
    <w:abstractNumId w:val="4"/>
  </w:num>
  <w:num w:numId="35">
    <w:abstractNumId w:val="25"/>
  </w:num>
  <w:num w:numId="36">
    <w:abstractNumId w:val="14"/>
  </w:num>
  <w:num w:numId="37">
    <w:abstractNumId w:val="5"/>
  </w:num>
  <w:num w:numId="38">
    <w:abstractNumId w:val="2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2BF"/>
    <w:rsid w:val="000A66AD"/>
    <w:rsid w:val="000A78C9"/>
    <w:rsid w:val="000A7E4C"/>
    <w:rsid w:val="000B1E21"/>
    <w:rsid w:val="000B4F36"/>
    <w:rsid w:val="000C02D3"/>
    <w:rsid w:val="000C6108"/>
    <w:rsid w:val="000C6B13"/>
    <w:rsid w:val="000C78A3"/>
    <w:rsid w:val="000D18CC"/>
    <w:rsid w:val="000D44FF"/>
    <w:rsid w:val="000D4AA5"/>
    <w:rsid w:val="000D4E8E"/>
    <w:rsid w:val="000D6923"/>
    <w:rsid w:val="000E053F"/>
    <w:rsid w:val="000E439C"/>
    <w:rsid w:val="000E4553"/>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0FD"/>
    <w:rsid w:val="002A2685"/>
    <w:rsid w:val="002A4028"/>
    <w:rsid w:val="002A46AC"/>
    <w:rsid w:val="002A7E7C"/>
    <w:rsid w:val="002B17F0"/>
    <w:rsid w:val="002B3A35"/>
    <w:rsid w:val="002B3D5A"/>
    <w:rsid w:val="002B45B5"/>
    <w:rsid w:val="002B45C6"/>
    <w:rsid w:val="002B4783"/>
    <w:rsid w:val="002B4DE1"/>
    <w:rsid w:val="002B4F53"/>
    <w:rsid w:val="002B6528"/>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77BC6"/>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0F"/>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16CE"/>
    <w:rsid w:val="00433828"/>
    <w:rsid w:val="004357F5"/>
    <w:rsid w:val="00435E5C"/>
    <w:rsid w:val="00437A22"/>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2DE4"/>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6A0"/>
    <w:rsid w:val="00560A97"/>
    <w:rsid w:val="005613A0"/>
    <w:rsid w:val="00562AF3"/>
    <w:rsid w:val="00564B4D"/>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B1929"/>
    <w:rsid w:val="005B2623"/>
    <w:rsid w:val="005B4D6D"/>
    <w:rsid w:val="005B7661"/>
    <w:rsid w:val="005C0148"/>
    <w:rsid w:val="005C14C6"/>
    <w:rsid w:val="005C152A"/>
    <w:rsid w:val="005C1CF8"/>
    <w:rsid w:val="005C1E68"/>
    <w:rsid w:val="005C294E"/>
    <w:rsid w:val="005C4420"/>
    <w:rsid w:val="005C699A"/>
    <w:rsid w:val="005D0124"/>
    <w:rsid w:val="005D4101"/>
    <w:rsid w:val="005D454B"/>
    <w:rsid w:val="005D4BF2"/>
    <w:rsid w:val="005D6CD1"/>
    <w:rsid w:val="005D7690"/>
    <w:rsid w:val="005E0229"/>
    <w:rsid w:val="005F1695"/>
    <w:rsid w:val="005F1DF1"/>
    <w:rsid w:val="005F7C17"/>
    <w:rsid w:val="00603F3E"/>
    <w:rsid w:val="00604BAC"/>
    <w:rsid w:val="00605193"/>
    <w:rsid w:val="00611055"/>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39B6"/>
    <w:rsid w:val="0063429F"/>
    <w:rsid w:val="0063449E"/>
    <w:rsid w:val="00636E69"/>
    <w:rsid w:val="006410BC"/>
    <w:rsid w:val="00644D00"/>
    <w:rsid w:val="00645AC1"/>
    <w:rsid w:val="006525E2"/>
    <w:rsid w:val="00652B2D"/>
    <w:rsid w:val="0065448D"/>
    <w:rsid w:val="00663280"/>
    <w:rsid w:val="0067097D"/>
    <w:rsid w:val="00674A53"/>
    <w:rsid w:val="006764E5"/>
    <w:rsid w:val="006767B4"/>
    <w:rsid w:val="00676CFA"/>
    <w:rsid w:val="00676E79"/>
    <w:rsid w:val="00681EF7"/>
    <w:rsid w:val="006827E9"/>
    <w:rsid w:val="00684B5C"/>
    <w:rsid w:val="0068542B"/>
    <w:rsid w:val="00696706"/>
    <w:rsid w:val="00696CE5"/>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70C"/>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6C0D"/>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58C"/>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292D"/>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4B1"/>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6374"/>
    <w:rsid w:val="00A87229"/>
    <w:rsid w:val="00A87631"/>
    <w:rsid w:val="00A90B24"/>
    <w:rsid w:val="00A966F5"/>
    <w:rsid w:val="00A96B11"/>
    <w:rsid w:val="00AA06A3"/>
    <w:rsid w:val="00AA1F7C"/>
    <w:rsid w:val="00AA29E5"/>
    <w:rsid w:val="00AA3B58"/>
    <w:rsid w:val="00AA42C8"/>
    <w:rsid w:val="00AA47B7"/>
    <w:rsid w:val="00AA65C4"/>
    <w:rsid w:val="00AB24FA"/>
    <w:rsid w:val="00AB2D94"/>
    <w:rsid w:val="00AB5D90"/>
    <w:rsid w:val="00AB7C47"/>
    <w:rsid w:val="00AC20B1"/>
    <w:rsid w:val="00AD33B9"/>
    <w:rsid w:val="00AD4D46"/>
    <w:rsid w:val="00AD4EEC"/>
    <w:rsid w:val="00AE2655"/>
    <w:rsid w:val="00AE3FEB"/>
    <w:rsid w:val="00AE7D14"/>
    <w:rsid w:val="00AF159F"/>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3C4"/>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3CA"/>
    <w:rsid w:val="00C84871"/>
    <w:rsid w:val="00C85774"/>
    <w:rsid w:val="00C87F0D"/>
    <w:rsid w:val="00C90140"/>
    <w:rsid w:val="00C902A7"/>
    <w:rsid w:val="00C91986"/>
    <w:rsid w:val="00C9220C"/>
    <w:rsid w:val="00C965BC"/>
    <w:rsid w:val="00C97487"/>
    <w:rsid w:val="00C97A7F"/>
    <w:rsid w:val="00CA0BB4"/>
    <w:rsid w:val="00CA1361"/>
    <w:rsid w:val="00CA2EB8"/>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897"/>
    <w:rsid w:val="00CE5AF9"/>
    <w:rsid w:val="00CE7080"/>
    <w:rsid w:val="00CE775C"/>
    <w:rsid w:val="00CE7F03"/>
    <w:rsid w:val="00CF1702"/>
    <w:rsid w:val="00CF1763"/>
    <w:rsid w:val="00CF3FFB"/>
    <w:rsid w:val="00D0126D"/>
    <w:rsid w:val="00D01367"/>
    <w:rsid w:val="00D02518"/>
    <w:rsid w:val="00D03188"/>
    <w:rsid w:val="00D0352C"/>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44CD4"/>
    <w:rsid w:val="00D46063"/>
    <w:rsid w:val="00D52F2C"/>
    <w:rsid w:val="00D5342D"/>
    <w:rsid w:val="00D567D6"/>
    <w:rsid w:val="00D6025F"/>
    <w:rsid w:val="00D611DA"/>
    <w:rsid w:val="00D61D1B"/>
    <w:rsid w:val="00D61D85"/>
    <w:rsid w:val="00D625F1"/>
    <w:rsid w:val="00D629B6"/>
    <w:rsid w:val="00D629D8"/>
    <w:rsid w:val="00D66015"/>
    <w:rsid w:val="00D73E4A"/>
    <w:rsid w:val="00D74E7B"/>
    <w:rsid w:val="00D758DE"/>
    <w:rsid w:val="00D77B92"/>
    <w:rsid w:val="00D80C06"/>
    <w:rsid w:val="00D80F0C"/>
    <w:rsid w:val="00D92055"/>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D61B9"/>
    <w:rsid w:val="00DE23A7"/>
    <w:rsid w:val="00DE3469"/>
    <w:rsid w:val="00DE5A2F"/>
    <w:rsid w:val="00DE79A8"/>
    <w:rsid w:val="00DF0697"/>
    <w:rsid w:val="00DF089E"/>
    <w:rsid w:val="00DF2DB3"/>
    <w:rsid w:val="00DF3A45"/>
    <w:rsid w:val="00DF3D63"/>
    <w:rsid w:val="00DF58FF"/>
    <w:rsid w:val="00DF6DE3"/>
    <w:rsid w:val="00DF6F84"/>
    <w:rsid w:val="00DF7EBA"/>
    <w:rsid w:val="00E0169E"/>
    <w:rsid w:val="00E03006"/>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3381"/>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0693"/>
    <w:rsid w:val="00F432A0"/>
    <w:rsid w:val="00F448D5"/>
    <w:rsid w:val="00F44B06"/>
    <w:rsid w:val="00F5175B"/>
    <w:rsid w:val="00F57854"/>
    <w:rsid w:val="00F62202"/>
    <w:rsid w:val="00F62D76"/>
    <w:rsid w:val="00F634DE"/>
    <w:rsid w:val="00F6436B"/>
    <w:rsid w:val="00F64B56"/>
    <w:rsid w:val="00F653D5"/>
    <w:rsid w:val="00F657C8"/>
    <w:rsid w:val="00F70C6A"/>
    <w:rsid w:val="00F73215"/>
    <w:rsid w:val="00F7332D"/>
    <w:rsid w:val="00F73411"/>
    <w:rsid w:val="00F73538"/>
    <w:rsid w:val="00F73EB7"/>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45C3"/>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5AC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253C4"/>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253C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253C4"/>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B253C4"/>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696CE5"/>
    <w:rPr>
      <w:sz w:val="16"/>
      <w:szCs w:val="16"/>
    </w:rPr>
  </w:style>
  <w:style w:type="paragraph" w:customStyle="1" w:styleId="ATANumLevel01BodySlide">
    <w:name w:val="ATA Num Level 01 Body/Slide"/>
    <w:basedOn w:val="Normal"/>
    <w:link w:val="ATANumLevel01BodySlideChar"/>
    <w:uiPriority w:val="8"/>
    <w:rsid w:val="00B253C4"/>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B253C4"/>
    <w:rPr>
      <w:rFonts w:ascii="Cambria" w:hAnsi="Cambria"/>
      <w:color w:val="262626" w:themeColor="text1" w:themeTint="D9"/>
      <w:sz w:val="24"/>
      <w:szCs w:val="24"/>
    </w:rPr>
  </w:style>
  <w:style w:type="character" w:customStyle="1" w:styleId="ATAEmphasis">
    <w:name w:val="ATA Emphasis"/>
    <w:basedOn w:val="DefaultParagraphFont"/>
    <w:uiPriority w:val="1"/>
    <w:qFormat/>
    <w:rsid w:val="00B253C4"/>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253C4"/>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253C4"/>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B253C4"/>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B253C4"/>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character" w:styleId="CommentReference">
    <w:name w:val="annotation reference"/>
    <w:basedOn w:val="DefaultParagraphFont"/>
    <w:semiHidden/>
    <w:unhideWhenUsed/>
    <w:rsid w:val="00696CE5"/>
    <w:rPr>
      <w:sz w:val="16"/>
      <w:szCs w:val="16"/>
    </w:rPr>
  </w:style>
  <w:style w:type="paragraph" w:customStyle="1" w:styleId="ATANumLevel01BodySlide">
    <w:name w:val="ATA Num Level 01 Body/Slide"/>
    <w:basedOn w:val="Normal"/>
    <w:link w:val="ATANumLevel01BodySlideChar"/>
    <w:uiPriority w:val="8"/>
    <w:rsid w:val="00B253C4"/>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B253C4"/>
    <w:rPr>
      <w:rFonts w:ascii="Cambria" w:hAnsi="Cambria"/>
      <w:color w:val="262626" w:themeColor="text1" w:themeTint="D9"/>
      <w:sz w:val="24"/>
      <w:szCs w:val="24"/>
    </w:rPr>
  </w:style>
  <w:style w:type="character" w:customStyle="1" w:styleId="ATAEmphasis">
    <w:name w:val="ATA Emphasis"/>
    <w:basedOn w:val="DefaultParagraphFont"/>
    <w:uiPriority w:val="1"/>
    <w:qFormat/>
    <w:rsid w:val="00B253C4"/>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A8E8B-846A-48D0-887B-40F37021B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4.xml><?xml version="1.0" encoding="utf-8"?>
<ds:datastoreItem xmlns:ds="http://schemas.openxmlformats.org/officeDocument/2006/customXml" ds:itemID="{F4284CFE-DA53-4C00-9889-4DEB2E327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6</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Module 15: Operational Resilience</vt:lpstr>
    </vt:vector>
  </TitlesOfParts>
  <Company>Office of Antiterrorism Assistance</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15: Operational Resilience</dc:title>
  <dc:subject>Critical Infrastructure Security and Resilience (CISR)</dc:subject>
  <dc:creator>ATA</dc:creator>
  <cp:lastModifiedBy>RobinsKL</cp:lastModifiedBy>
  <cp:revision>3</cp:revision>
  <cp:lastPrinted>2013-12-04T12:49:00Z</cp:lastPrinted>
  <dcterms:created xsi:type="dcterms:W3CDTF">2017-10-23T11:30:00Z</dcterms:created>
  <dcterms:modified xsi:type="dcterms:W3CDTF">2017-10-23T11:56:00Z</dcterms:modified>
  <cp:category>Addendum 15.1: Gap Analysis Scenario Activity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