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95124" w14:textId="616E39E9" w:rsidR="00E03006" w:rsidRPr="00C82497" w:rsidRDefault="00423180" w:rsidP="00E80349">
      <w:pPr>
        <w:pStyle w:val="ATAModuleTitle"/>
        <w:rPr>
          <w:rFonts w:asciiTheme="majorHAnsi" w:hAnsiTheme="majorHAnsi"/>
          <w:b w:val="0"/>
          <w:bCs/>
          <w:sz w:val="28"/>
          <w:szCs w:val="28"/>
        </w:rPr>
      </w:pPr>
      <w:r w:rsidRPr="0042024F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01E51905" wp14:editId="04BACE21">
            <wp:simplePos x="0" y="0"/>
            <wp:positionH relativeFrom="column">
              <wp:posOffset>5113020</wp:posOffset>
            </wp:positionH>
            <wp:positionV relativeFrom="paragraph">
              <wp:posOffset>0</wp:posOffset>
            </wp:positionV>
            <wp:extent cx="274320" cy="274320"/>
            <wp:effectExtent l="0" t="0" r="0" b="0"/>
            <wp:wrapNone/>
            <wp:docPr id="28" name="Picture Placeholder 1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Placeholder 13"/>
                    <pic:cNvPicPr>
                      <a:picLocks noGr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180">
        <w:rPr>
          <w:rFonts w:asciiTheme="majorHAnsi" w:hAnsiTheme="majorHAnsi"/>
          <w:b w:val="0"/>
          <w:bCs/>
          <w:sz w:val="28"/>
          <w:szCs w:val="28"/>
          <w:lang w:bidi="ar-SA"/>
        </w:rPr>
        <w:t>المرجع</w:t>
      </w:r>
      <w:r w:rsidR="006B2C72" w:rsidRPr="00C82497">
        <w:rPr>
          <w:rFonts w:asciiTheme="majorHAnsi" w:hAnsiTheme="majorHAnsi"/>
          <w:b w:val="0"/>
          <w:bCs/>
          <w:sz w:val="28"/>
          <w:szCs w:val="28"/>
        </w:rPr>
        <w:t xml:space="preserve"> 11.</w:t>
      </w:r>
      <w:r>
        <w:rPr>
          <w:rFonts w:asciiTheme="majorHAnsi" w:hAnsiTheme="majorHAnsi"/>
          <w:b w:val="0"/>
          <w:bCs/>
          <w:sz w:val="28"/>
          <w:szCs w:val="28"/>
        </w:rPr>
        <w:t>1</w:t>
      </w:r>
      <w:r w:rsidR="006B2C72" w:rsidRPr="00C82497">
        <w:rPr>
          <w:rFonts w:asciiTheme="majorHAnsi" w:hAnsiTheme="majorHAnsi"/>
          <w:b w:val="0"/>
          <w:bCs/>
          <w:sz w:val="28"/>
          <w:szCs w:val="28"/>
        </w:rPr>
        <w:t>: مراحل عملية إدارة الحوادث الخطيرة</w:t>
      </w:r>
    </w:p>
    <w:tbl>
      <w:tblPr>
        <w:bidiVisual/>
        <w:tblW w:w="8640" w:type="dxa"/>
        <w:tblInd w:w="105" w:type="dxa"/>
        <w:tblLook w:val="04A0" w:firstRow="1" w:lastRow="0" w:firstColumn="1" w:lastColumn="0" w:noHBand="0" w:noVBand="1"/>
      </w:tblPr>
      <w:tblGrid>
        <w:gridCol w:w="2465"/>
        <w:gridCol w:w="6175"/>
      </w:tblGrid>
      <w:tr w:rsidR="0090350A" w:rsidRPr="00B1051D" w14:paraId="72FC0DBB" w14:textId="77777777" w:rsidTr="009C56BA">
        <w:tc>
          <w:tcPr>
            <w:tcW w:w="2465" w:type="dxa"/>
            <w:shd w:val="clear" w:color="auto" w:fill="auto"/>
          </w:tcPr>
          <w:p w14:paraId="6487DAA6" w14:textId="77777777" w:rsidR="0090350A" w:rsidRPr="00B1051D" w:rsidRDefault="0090350A" w:rsidP="00A2636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1051D">
              <w:rPr>
                <w:rFonts w:asciiTheme="majorHAnsi" w:hAnsiTheme="majorHAnsi"/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6175" w:type="dxa"/>
            <w:shd w:val="clear" w:color="auto" w:fill="auto"/>
          </w:tcPr>
          <w:p w14:paraId="4ADBF2BD" w14:textId="3AAE39A2" w:rsidR="009C56BA" w:rsidRPr="00B1051D" w:rsidRDefault="0090350A" w:rsidP="001A2825">
            <w:pPr>
              <w:pStyle w:val="ATABody"/>
              <w:rPr>
                <w:sz w:val="28"/>
                <w:szCs w:val="28"/>
              </w:rPr>
            </w:pPr>
            <w:r w:rsidRPr="00B1051D">
              <w:rPr>
                <w:sz w:val="28"/>
                <w:szCs w:val="28"/>
              </w:rPr>
              <w:t xml:space="preserve">توفير نظرة عامة عن مراحل إدارة الحوادث الخطيرة </w:t>
            </w:r>
          </w:p>
        </w:tc>
      </w:tr>
    </w:tbl>
    <w:p w14:paraId="4F97E5BD" w14:textId="77777777" w:rsidR="009C56BA" w:rsidRPr="00B1051D" w:rsidRDefault="009C56BA">
      <w:pPr>
        <w:rPr>
          <w:sz w:val="28"/>
          <w:szCs w:val="28"/>
        </w:rPr>
      </w:pPr>
    </w:p>
    <w:p w14:paraId="11555D6D" w14:textId="77777777" w:rsidR="009C56BA" w:rsidRPr="00B1051D" w:rsidRDefault="009C56BA">
      <w:pPr>
        <w:rPr>
          <w:sz w:val="28"/>
          <w:szCs w:val="28"/>
        </w:rPr>
      </w:pPr>
    </w:p>
    <w:p w14:paraId="68CEE29A" w14:textId="57B2F8FC" w:rsidR="001A2825" w:rsidRPr="00B1051D" w:rsidRDefault="001A2825">
      <w:pPr>
        <w:rPr>
          <w:sz w:val="28"/>
          <w:szCs w:val="28"/>
        </w:rPr>
      </w:pPr>
      <w:r w:rsidRPr="00B1051D">
        <w:rPr>
          <w:noProof/>
          <w:sz w:val="28"/>
          <w:szCs w:val="28"/>
          <w:lang w:eastAsia="en-US" w:bidi="ar-SA"/>
        </w:rPr>
        <w:drawing>
          <wp:inline distT="0" distB="0" distL="0" distR="0" wp14:anchorId="0806B9CF" wp14:editId="3C329C1B">
            <wp:extent cx="5486400" cy="2453054"/>
            <wp:effectExtent l="0" t="133350" r="0" b="4254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3D82860" w14:textId="77777777" w:rsidR="001A2825" w:rsidRPr="00B1051D" w:rsidRDefault="001A2825">
      <w:pPr>
        <w:rPr>
          <w:sz w:val="28"/>
          <w:szCs w:val="28"/>
        </w:rPr>
      </w:pPr>
    </w:p>
    <w:p w14:paraId="604BF32E" w14:textId="5B9BD79B" w:rsidR="001A2825" w:rsidRPr="00C82497" w:rsidRDefault="001A2825" w:rsidP="001A2825">
      <w:pPr>
        <w:pStyle w:val="ATAHeadingLevel1"/>
        <w:rPr>
          <w:b w:val="0"/>
          <w:bCs/>
          <w:sz w:val="28"/>
          <w:szCs w:val="28"/>
        </w:rPr>
      </w:pPr>
      <w:r w:rsidRPr="00C82497">
        <w:rPr>
          <w:b w:val="0"/>
          <w:bCs/>
          <w:sz w:val="28"/>
          <w:szCs w:val="28"/>
        </w:rPr>
        <w:t>المرحلة 1: الوقاية</w:t>
      </w:r>
    </w:p>
    <w:p w14:paraId="75357BB7" w14:textId="6AF8931E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المقصود منها منع الحادث الأولي والحوادث التالية.</w:t>
      </w:r>
    </w:p>
    <w:p w14:paraId="1FD80116" w14:textId="5D30C67B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يمكن أن تكون المرحلة الأولى أو الأخيرة.</w:t>
      </w:r>
    </w:p>
    <w:p w14:paraId="5CBD0CAB" w14:textId="22E3CA76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يجب أن تتضمن تقييم وتنفيذ التدابير الأمنية الخاصة بكل من البنية الأساسية الحرجة </w:t>
      </w:r>
      <w:r w:rsidR="00C82497" w:rsidRPr="00C82497">
        <w:rPr>
          <w:rFonts w:hint="cs"/>
          <w:b/>
          <w:bCs w:val="0"/>
          <w:sz w:val="28"/>
          <w:szCs w:val="28"/>
        </w:rPr>
        <w:t>والأهداف المهمة</w:t>
      </w:r>
      <w:r w:rsidRPr="00C82497">
        <w:rPr>
          <w:b/>
          <w:bCs w:val="0"/>
          <w:sz w:val="28"/>
          <w:szCs w:val="28"/>
        </w:rPr>
        <w:t xml:space="preserve"> الخاصة بجميع الأفراد.</w:t>
      </w:r>
    </w:p>
    <w:p w14:paraId="4ADF9C41" w14:textId="7F7A4685" w:rsidR="001A2825" w:rsidRPr="00C82497" w:rsidRDefault="001A2825" w:rsidP="001A2825">
      <w:pPr>
        <w:pStyle w:val="ATAHeadingLevel1"/>
        <w:rPr>
          <w:b w:val="0"/>
          <w:bCs/>
          <w:sz w:val="28"/>
          <w:szCs w:val="28"/>
        </w:rPr>
      </w:pPr>
      <w:r w:rsidRPr="00C82497">
        <w:rPr>
          <w:b w:val="0"/>
          <w:bCs/>
          <w:sz w:val="28"/>
          <w:szCs w:val="28"/>
        </w:rPr>
        <w:t>المرحلة 2: التأهب</w:t>
      </w:r>
    </w:p>
    <w:p w14:paraId="0A565036" w14:textId="21D59C84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توفر هذه المرحلة الخطوط التوجيهية المسبقة الإعداد عن كيفية التنسيق والسيطرة لتحقيق </w:t>
      </w:r>
      <w:r w:rsidR="00C82497" w:rsidRPr="00C82497">
        <w:rPr>
          <w:rFonts w:hint="cs"/>
          <w:b/>
          <w:bCs w:val="0"/>
          <w:sz w:val="28"/>
          <w:szCs w:val="28"/>
        </w:rPr>
        <w:t>الاستجابة</w:t>
      </w:r>
      <w:r w:rsidRPr="00C82497">
        <w:rPr>
          <w:b/>
          <w:bCs w:val="0"/>
          <w:sz w:val="28"/>
          <w:szCs w:val="28"/>
        </w:rPr>
        <w:t xml:space="preserve"> المناسبة للحادث.</w:t>
      </w:r>
    </w:p>
    <w:p w14:paraId="2C4FD6D3" w14:textId="74C9CDB2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كما توفر توجيهات محددة عن جميع </w:t>
      </w:r>
      <w:r w:rsidR="00C82497" w:rsidRPr="00C82497">
        <w:rPr>
          <w:rFonts w:hint="cs"/>
          <w:b/>
          <w:bCs w:val="0"/>
          <w:sz w:val="28"/>
          <w:szCs w:val="28"/>
        </w:rPr>
        <w:t>الاتصالات</w:t>
      </w:r>
      <w:r w:rsidRPr="00C82497">
        <w:rPr>
          <w:b/>
          <w:bCs w:val="0"/>
          <w:sz w:val="28"/>
          <w:szCs w:val="28"/>
        </w:rPr>
        <w:t xml:space="preserve"> الضرورية:</w:t>
      </w:r>
    </w:p>
    <w:p w14:paraId="0DF120C4" w14:textId="77777777" w:rsidR="001A2825" w:rsidRPr="00C82497" w:rsidRDefault="001A2825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توجيهات هيكل تسلسل القيادة</w:t>
      </w:r>
    </w:p>
    <w:p w14:paraId="7682B6F2" w14:textId="7A07F424" w:rsidR="001A2825" w:rsidRPr="00C82497" w:rsidRDefault="001A2825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بروتوكول </w:t>
      </w:r>
      <w:r w:rsidR="00C82497" w:rsidRPr="00C82497">
        <w:rPr>
          <w:rFonts w:hint="cs"/>
          <w:b/>
          <w:bCs w:val="0"/>
          <w:sz w:val="28"/>
          <w:szCs w:val="28"/>
        </w:rPr>
        <w:t>الاتصال</w:t>
      </w:r>
      <w:r w:rsidRPr="00C82497">
        <w:rPr>
          <w:b/>
          <w:bCs w:val="0"/>
          <w:sz w:val="28"/>
          <w:szCs w:val="28"/>
        </w:rPr>
        <w:t xml:space="preserve"> اللاسلكي</w:t>
      </w:r>
    </w:p>
    <w:p w14:paraId="71799278" w14:textId="635B4C9D" w:rsidR="00AA20C8" w:rsidRPr="00C82497" w:rsidRDefault="00C82497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rFonts w:hint="cs"/>
          <w:b/>
          <w:bCs w:val="0"/>
          <w:sz w:val="28"/>
          <w:szCs w:val="28"/>
        </w:rPr>
        <w:t>الاتصالات</w:t>
      </w:r>
      <w:r w:rsidR="001A2825" w:rsidRPr="00C82497">
        <w:rPr>
          <w:b/>
          <w:bCs w:val="0"/>
          <w:sz w:val="28"/>
          <w:szCs w:val="28"/>
        </w:rPr>
        <w:t xml:space="preserve"> مع ممثلي وسائل الإعلام</w:t>
      </w:r>
    </w:p>
    <w:p w14:paraId="0A1ADC43" w14:textId="0BC59418" w:rsidR="00AA20C8" w:rsidRPr="00C82497" w:rsidRDefault="001A2825" w:rsidP="001A2825">
      <w:pPr>
        <w:pStyle w:val="ATAHeadingLevel1"/>
        <w:rPr>
          <w:b w:val="0"/>
          <w:bCs/>
          <w:sz w:val="28"/>
          <w:szCs w:val="28"/>
        </w:rPr>
      </w:pPr>
      <w:r w:rsidRPr="00C82497">
        <w:rPr>
          <w:b w:val="0"/>
          <w:bCs/>
          <w:sz w:val="28"/>
          <w:szCs w:val="28"/>
        </w:rPr>
        <w:t>المرحلة 3: الاستجابة</w:t>
      </w:r>
    </w:p>
    <w:p w14:paraId="623C396B" w14:textId="39CE3E6F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رد الفعل الفوري أو جهود الإغاثة التي تنصب على إنقاذ الأرواح والحد من مدى الخسائر بالممتلكات.</w:t>
      </w:r>
    </w:p>
    <w:p w14:paraId="3B73B95B" w14:textId="77777777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المدراء:</w:t>
      </w:r>
    </w:p>
    <w:p w14:paraId="2D9720F7" w14:textId="7E302F5C" w:rsidR="001A2825" w:rsidRPr="00C82497" w:rsidRDefault="001A2825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الإشراف على إجراءات </w:t>
      </w:r>
      <w:r w:rsidR="00C82497" w:rsidRPr="00C82497">
        <w:rPr>
          <w:rFonts w:hint="cs"/>
          <w:b/>
          <w:bCs w:val="0"/>
          <w:sz w:val="28"/>
          <w:szCs w:val="28"/>
        </w:rPr>
        <w:t>الاستجابة</w:t>
      </w:r>
      <w:r w:rsidRPr="00C82497">
        <w:rPr>
          <w:b/>
          <w:bCs w:val="0"/>
          <w:sz w:val="28"/>
          <w:szCs w:val="28"/>
        </w:rPr>
        <w:t xml:space="preserve"> الفورية.</w:t>
      </w:r>
    </w:p>
    <w:p w14:paraId="619A98B8" w14:textId="3A56B6EE" w:rsidR="001A2825" w:rsidRPr="00C82497" w:rsidRDefault="001A2825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الاعتماد على خطة مكتوبة وفقاً للتحديد المسبق في المرحلة 2.</w:t>
      </w:r>
    </w:p>
    <w:p w14:paraId="02E1C1AF" w14:textId="2BB49ACF" w:rsidR="001A2825" w:rsidRPr="00C82497" w:rsidRDefault="001A2825" w:rsidP="001A2825">
      <w:pPr>
        <w:pStyle w:val="ATABulletLevel02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lastRenderedPageBreak/>
        <w:t>التوقع المستمر لأية تطورات إضافية قد تتطلب ضوابط السيطرة وحل الموقف المتأزم.</w:t>
      </w:r>
    </w:p>
    <w:p w14:paraId="35CF0E66" w14:textId="4AA3C294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احتواء التدمير (عادة ما يُسمى بالسيطرة على الخسائر) هو عنصر أساسي في إدارة الحوادث الحرجة.</w:t>
      </w:r>
    </w:p>
    <w:p w14:paraId="1000F85B" w14:textId="4C3544BD" w:rsidR="001A2825" w:rsidRPr="00C82497" w:rsidRDefault="001A2825" w:rsidP="001A2825">
      <w:pPr>
        <w:pStyle w:val="ATAHeadingLevel1"/>
        <w:rPr>
          <w:rFonts w:eastAsia="MS PGothic"/>
          <w:b w:val="0"/>
          <w:bCs/>
          <w:sz w:val="28"/>
          <w:szCs w:val="28"/>
        </w:rPr>
      </w:pPr>
      <w:r w:rsidRPr="00C82497">
        <w:rPr>
          <w:b w:val="0"/>
          <w:bCs/>
          <w:sz w:val="28"/>
          <w:szCs w:val="28"/>
        </w:rPr>
        <w:t>المرحلة 4: التعافي</w:t>
      </w:r>
    </w:p>
    <w:p w14:paraId="21FA6A58" w14:textId="076C7745" w:rsidR="001A2825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تعرف أيضا باسم إدارة العواقب.</w:t>
      </w:r>
    </w:p>
    <w:p w14:paraId="755275B7" w14:textId="2357EDCE" w:rsidR="008B6063" w:rsidRPr="00C82497" w:rsidRDefault="001A2825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 xml:space="preserve">عملية الإصلاح </w:t>
      </w:r>
      <w:r w:rsidR="00C82497" w:rsidRPr="00C82497">
        <w:rPr>
          <w:rFonts w:hint="cs"/>
          <w:b/>
          <w:bCs w:val="0"/>
          <w:sz w:val="28"/>
          <w:szCs w:val="28"/>
        </w:rPr>
        <w:t>والاسترداد</w:t>
      </w:r>
      <w:r w:rsidRPr="00C82497">
        <w:rPr>
          <w:b/>
          <w:bCs w:val="0"/>
          <w:sz w:val="28"/>
          <w:szCs w:val="28"/>
        </w:rPr>
        <w:t xml:space="preserve">. </w:t>
      </w:r>
    </w:p>
    <w:p w14:paraId="1ECE7136" w14:textId="0D65A9AA" w:rsidR="001A2825" w:rsidRPr="00C82497" w:rsidRDefault="008B6063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يتم نقل مسؤولية اتخاذ القرارات إلى مسؤولين آخرين قد سبق تحديدهم.</w:t>
      </w:r>
    </w:p>
    <w:p w14:paraId="104471C2" w14:textId="102A9FA6" w:rsidR="001A2825" w:rsidRPr="00C82497" w:rsidRDefault="008B6063" w:rsidP="001A2825">
      <w:pPr>
        <w:pStyle w:val="ATABulletLevel01BodySlide"/>
        <w:rPr>
          <w:b/>
          <w:bCs w:val="0"/>
          <w:sz w:val="28"/>
          <w:szCs w:val="28"/>
        </w:rPr>
      </w:pPr>
      <w:r w:rsidRPr="00C82497">
        <w:rPr>
          <w:b/>
          <w:bCs w:val="0"/>
          <w:sz w:val="28"/>
          <w:szCs w:val="28"/>
        </w:rPr>
        <w:t>رغم أنه يتم حل الأزمة، إلا أن الأوساط البيئية لاتزال غير مستقرة، الأمر الذي يجعل من التعافي مرحلة غير مستقرة ومتقلبة للغاية.</w:t>
      </w:r>
    </w:p>
    <w:p w14:paraId="0C4ACEC7" w14:textId="77777777" w:rsidR="00AA20C8" w:rsidRPr="00C82497" w:rsidRDefault="00AA20C8" w:rsidP="00AA20C8">
      <w:pPr>
        <w:rPr>
          <w:rFonts w:ascii="Cambria" w:hAnsi="Cambria"/>
          <w:b/>
          <w:color w:val="262626" w:themeColor="text1" w:themeTint="D9"/>
          <w:sz w:val="28"/>
          <w:szCs w:val="28"/>
        </w:rPr>
      </w:pPr>
    </w:p>
    <w:sectPr w:rsidR="00AA20C8" w:rsidRPr="00C82497" w:rsidSect="00C644D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D5C7E" w14:textId="77777777" w:rsidR="00555A24" w:rsidRDefault="00555A24" w:rsidP="00C82114">
      <w:r>
        <w:separator/>
      </w:r>
    </w:p>
  </w:endnote>
  <w:endnote w:type="continuationSeparator" w:id="0">
    <w:p w14:paraId="248285B9" w14:textId="77777777" w:rsidR="00555A24" w:rsidRDefault="00555A2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38C14" w14:textId="77777777" w:rsidR="00423180" w:rsidRDefault="004231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B1051D" w14:paraId="058951A2" w14:textId="77777777" w:rsidTr="00B1051D">
      <w:tc>
        <w:tcPr>
          <w:tcW w:w="8100" w:type="dxa"/>
          <w:shd w:val="clear" w:color="auto" w:fill="auto"/>
        </w:tcPr>
        <w:p w14:paraId="058951A0" w14:textId="48383E07" w:rsidR="00C305B2" w:rsidRPr="00B1051D" w:rsidRDefault="00525366" w:rsidP="00B1051D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B1051D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B1051D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058951A1" w14:textId="5925F47F" w:rsidR="00C305B2" w:rsidRPr="00B1051D" w:rsidRDefault="00C305B2" w:rsidP="00B1051D">
          <w:pPr>
            <w:pStyle w:val="ATAFooter"/>
            <w:bidi w:val="0"/>
            <w:jc w:val="right"/>
            <w:rPr>
              <w:szCs w:val="18"/>
            </w:rPr>
          </w:pPr>
          <w:r w:rsidRPr="00B1051D">
            <w:rPr>
              <w:rStyle w:val="ATAFooterChar"/>
              <w:szCs w:val="18"/>
              <w:rtl w:val="0"/>
            </w:rPr>
            <w:t xml:space="preserve">Page </w:t>
          </w:r>
          <w:r w:rsidRPr="00B1051D">
            <w:rPr>
              <w:rStyle w:val="ATAFooterChar"/>
              <w:rFonts w:eastAsia="Arial Unicode MS"/>
              <w:szCs w:val="18"/>
            </w:rPr>
            <w:fldChar w:fldCharType="begin"/>
          </w:r>
          <w:r w:rsidRPr="00B1051D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B1051D">
            <w:rPr>
              <w:rStyle w:val="ATAFooterChar"/>
              <w:rFonts w:eastAsia="Arial Unicode MS"/>
              <w:szCs w:val="18"/>
            </w:rPr>
            <w:fldChar w:fldCharType="separate"/>
          </w:r>
          <w:r w:rsidR="00423180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B1051D">
            <w:rPr>
              <w:rStyle w:val="ATAFooterChar"/>
              <w:rFonts w:eastAsia="Arial Unicode MS"/>
              <w:szCs w:val="18"/>
            </w:rPr>
            <w:fldChar w:fldCharType="end"/>
          </w:r>
          <w:r w:rsidRPr="00B1051D">
            <w:rPr>
              <w:rStyle w:val="ATAFooterChar"/>
              <w:szCs w:val="18"/>
              <w:rtl w:val="0"/>
            </w:rPr>
            <w:t xml:space="preserve"> of</w:t>
          </w:r>
          <w:r w:rsidR="00B1051D">
            <w:rPr>
              <w:rStyle w:val="ATAFooterChar"/>
              <w:szCs w:val="18"/>
              <w:rtl w:val="0"/>
            </w:rPr>
            <w:t xml:space="preserve"> </w:t>
          </w:r>
          <w:r w:rsidRPr="00B1051D">
            <w:rPr>
              <w:rStyle w:val="ATAFooterChar"/>
              <w:szCs w:val="18"/>
            </w:rPr>
            <w:t xml:space="preserve"> </w:t>
          </w:r>
          <w:r w:rsidRPr="00B1051D">
            <w:rPr>
              <w:rStyle w:val="ATAFooterChar"/>
              <w:rFonts w:eastAsia="Arial Unicode MS"/>
              <w:szCs w:val="18"/>
            </w:rPr>
            <w:fldChar w:fldCharType="begin"/>
          </w:r>
          <w:r w:rsidRPr="00B1051D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B1051D">
            <w:rPr>
              <w:rStyle w:val="ATAFooterChar"/>
              <w:rFonts w:eastAsia="Arial Unicode MS"/>
              <w:szCs w:val="18"/>
            </w:rPr>
            <w:fldChar w:fldCharType="separate"/>
          </w:r>
          <w:r w:rsidR="00423180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B1051D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058951A3" w14:textId="77777777" w:rsidR="008564F0" w:rsidRPr="00E9494F" w:rsidRDefault="008564F0" w:rsidP="00B1051D">
    <w:pPr>
      <w:tabs>
        <w:tab w:val="right" w:pos="8640"/>
      </w:tabs>
      <w:bidi w:val="0"/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2830B" w14:textId="77777777" w:rsidR="00423180" w:rsidRDefault="00423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43C9A" w14:textId="77777777" w:rsidR="00555A24" w:rsidRDefault="00555A24" w:rsidP="00C82114">
      <w:r>
        <w:separator/>
      </w:r>
    </w:p>
  </w:footnote>
  <w:footnote w:type="continuationSeparator" w:id="0">
    <w:p w14:paraId="7DC22ADC" w14:textId="77777777" w:rsidR="00555A24" w:rsidRDefault="00555A2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E6A3" w14:textId="77777777" w:rsidR="00423180" w:rsidRDefault="004231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2"/>
      <w:gridCol w:w="4328"/>
    </w:tblGrid>
    <w:tr w:rsidR="0046704B" w:rsidRPr="00456B51" w14:paraId="0589519E" w14:textId="77777777" w:rsidTr="00B1051D">
      <w:tc>
        <w:tcPr>
          <w:tcW w:w="4788" w:type="dxa"/>
          <w:shd w:val="clear" w:color="auto" w:fill="auto"/>
          <w:vAlign w:val="bottom"/>
        </w:tcPr>
        <w:p w14:paraId="0589519C" w14:textId="547D04C0" w:rsidR="008564F0" w:rsidRPr="00456B51" w:rsidRDefault="00F16234" w:rsidP="00B1051D">
          <w:pPr>
            <w:pStyle w:val="ATAHeader"/>
            <w:bidi w:val="0"/>
          </w:pPr>
          <w:r>
            <w:rPr>
              <w:rtl w:val="0"/>
            </w:rPr>
            <w:t>Module 11: Policies and Procedures</w:t>
          </w:r>
        </w:p>
      </w:tc>
      <w:tc>
        <w:tcPr>
          <w:tcW w:w="4788" w:type="dxa"/>
          <w:shd w:val="clear" w:color="auto" w:fill="auto"/>
          <w:vAlign w:val="bottom"/>
        </w:tcPr>
        <w:p w14:paraId="0589519D" w14:textId="77B45CFC" w:rsidR="008564F0" w:rsidRPr="00456B51" w:rsidRDefault="00423180" w:rsidP="00423180">
          <w:pPr>
            <w:pStyle w:val="ATAHeader"/>
            <w:bidi w:val="0"/>
            <w:jc w:val="right"/>
          </w:pPr>
          <w:r>
            <w:rPr>
              <w:rtl w:val="0"/>
            </w:rPr>
            <w:t>Reference</w:t>
          </w:r>
          <w:r w:rsidR="00C644D9">
            <w:rPr>
              <w:rtl w:val="0"/>
            </w:rPr>
            <w:t xml:space="preserve"> 11.</w:t>
          </w:r>
          <w:r>
            <w:rPr>
              <w:rtl w:val="0"/>
            </w:rPr>
            <w:t>1</w:t>
          </w:r>
          <w:bookmarkStart w:id="0" w:name="_GoBack"/>
          <w:bookmarkEnd w:id="0"/>
          <w:r w:rsidR="00C644D9">
            <w:rPr>
              <w:rtl w:val="0"/>
            </w:rPr>
            <w:t>: Critical Incident Management Process Phases</w:t>
          </w:r>
        </w:p>
      </w:tc>
    </w:tr>
  </w:tbl>
  <w:p w14:paraId="0589519F" w14:textId="77777777" w:rsidR="008E31C0" w:rsidRDefault="008E31C0" w:rsidP="00146C0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8168D" w14:textId="77777777" w:rsidR="00423180" w:rsidRDefault="004231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3368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5F4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2A51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825"/>
    <w:rsid w:val="001A2DB4"/>
    <w:rsid w:val="001A7C08"/>
    <w:rsid w:val="001B036F"/>
    <w:rsid w:val="001B1071"/>
    <w:rsid w:val="001B1AE3"/>
    <w:rsid w:val="001B1B58"/>
    <w:rsid w:val="001B237E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0D60"/>
    <w:rsid w:val="0040116B"/>
    <w:rsid w:val="004012E1"/>
    <w:rsid w:val="004029D7"/>
    <w:rsid w:val="0040308C"/>
    <w:rsid w:val="00404F39"/>
    <w:rsid w:val="0040633A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180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448E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5A24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7E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41B2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0DB9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57F70"/>
    <w:rsid w:val="0076067C"/>
    <w:rsid w:val="00760A2E"/>
    <w:rsid w:val="00761E0D"/>
    <w:rsid w:val="0077146C"/>
    <w:rsid w:val="00775D9C"/>
    <w:rsid w:val="00776B60"/>
    <w:rsid w:val="00777CBB"/>
    <w:rsid w:val="0078089D"/>
    <w:rsid w:val="007813A9"/>
    <w:rsid w:val="00782330"/>
    <w:rsid w:val="00784608"/>
    <w:rsid w:val="00786C8E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466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063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50A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581B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C56BA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4895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0C8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51D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4CB4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5F9D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2497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078A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5794F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344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123E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0F3C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5895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1A2825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1A282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1A282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1A282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003368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003368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1A2825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1A282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1A282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1A282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003368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003368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microsoft.com/office/2007/relationships/diagramDrawing" Target="diagrams/drawing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Layout" Target="diagrams/layout1.xm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E5A8A7-463E-4EB3-845A-AD60293F1BA7}" type="doc">
      <dgm:prSet loTypeId="urn:microsoft.com/office/officeart/2005/8/layout/cycle1" loCatId="cycl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8157B01A-D255-4542-AB62-69828D72DC3C}">
      <dgm:prSet phldrT="[Text]" custT="1"/>
      <dgm:spPr/>
      <dgm:t>
        <a:bodyPr/>
        <a:lstStyle/>
        <a:p>
          <a:r>
            <a:rPr lang="ar-EG" sz="2000" b="1" dirty="0"/>
            <a:t>المرحلة 1: الوقاية</a:t>
          </a:r>
          <a:endParaRPr lang="en-US" sz="2000" b="1" dirty="0"/>
        </a:p>
      </dgm:t>
    </dgm:pt>
    <dgm:pt modelId="{C3254077-480C-400B-AF49-DD697FDB90F0}" type="parTrans" cxnId="{D349C5BC-801A-44B9-9AA9-599E9397D06C}">
      <dgm:prSet/>
      <dgm:spPr/>
      <dgm:t>
        <a:bodyPr/>
        <a:lstStyle/>
        <a:p>
          <a:endParaRPr lang="en-US"/>
        </a:p>
      </dgm:t>
    </dgm:pt>
    <dgm:pt modelId="{0B346912-2893-4E53-967F-953605D23F50}" type="sibTrans" cxnId="{D349C5BC-801A-44B9-9AA9-599E9397D06C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8AB40DAE-4344-447C-81EB-70F782E792D2}">
      <dgm:prSet phldrT="[Text]" custT="1"/>
      <dgm:spPr/>
      <dgm:t>
        <a:bodyPr/>
        <a:lstStyle/>
        <a:p>
          <a:r>
            <a:rPr lang="ar-EG" sz="2000" b="1" dirty="0"/>
            <a:t>المرحلة 2: التأهب</a:t>
          </a:r>
          <a:endParaRPr lang="en-US" sz="2000" b="1" dirty="0"/>
        </a:p>
      </dgm:t>
    </dgm:pt>
    <dgm:pt modelId="{E99EDBD2-0B98-4AD8-A4A9-A9DAC8BB19C5}" type="parTrans" cxnId="{6ECED112-B36C-44F3-A02B-CDBF3BB62B04}">
      <dgm:prSet/>
      <dgm:spPr/>
      <dgm:t>
        <a:bodyPr/>
        <a:lstStyle/>
        <a:p>
          <a:endParaRPr lang="en-US"/>
        </a:p>
      </dgm:t>
    </dgm:pt>
    <dgm:pt modelId="{C7DBAD60-8687-4B5A-89F4-98443BD13DC6}" type="sibTrans" cxnId="{6ECED112-B36C-44F3-A02B-CDBF3BB62B04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78C78C10-3203-4C48-BBF6-0670F6C8A89E}">
      <dgm:prSet phldrT="[Text]" custT="1"/>
      <dgm:spPr/>
      <dgm:t>
        <a:bodyPr/>
        <a:lstStyle/>
        <a:p>
          <a:r>
            <a:rPr lang="ar-EG" sz="2000" b="1" dirty="0"/>
            <a:t>المرحلة 3: الاستجابة</a:t>
          </a:r>
          <a:endParaRPr lang="en-US" sz="2400" b="1" dirty="0"/>
        </a:p>
      </dgm:t>
    </dgm:pt>
    <dgm:pt modelId="{319BCC9E-46CF-4114-98CE-FE03DDC96536}" type="parTrans" cxnId="{D2A140B4-46C0-4195-B4B7-A14EFA7CFE0A}">
      <dgm:prSet/>
      <dgm:spPr/>
      <dgm:t>
        <a:bodyPr/>
        <a:lstStyle/>
        <a:p>
          <a:endParaRPr lang="en-US"/>
        </a:p>
      </dgm:t>
    </dgm:pt>
    <dgm:pt modelId="{F76CB2D5-27D0-4454-BAD9-BBD6F4124080}" type="sibTrans" cxnId="{D2A140B4-46C0-4195-B4B7-A14EFA7CFE0A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02485D7E-B5BD-4974-8328-4B2E8FC929EA}">
      <dgm:prSet phldrT="[Text]" custT="1"/>
      <dgm:spPr/>
      <dgm:t>
        <a:bodyPr/>
        <a:lstStyle/>
        <a:p>
          <a:r>
            <a:rPr lang="ar-EG" sz="2000" b="1" dirty="0"/>
            <a:t>المرحلة 4: التعافي</a:t>
          </a:r>
          <a:endParaRPr lang="en-US" sz="1700" b="1" dirty="0"/>
        </a:p>
      </dgm:t>
    </dgm:pt>
    <dgm:pt modelId="{F1EE0659-EFAB-4658-A793-9FA3E54A8815}" type="parTrans" cxnId="{50A16B1D-0986-4E28-9605-5FD1A2576EF2}">
      <dgm:prSet/>
      <dgm:spPr/>
      <dgm:t>
        <a:bodyPr/>
        <a:lstStyle/>
        <a:p>
          <a:endParaRPr lang="en-US"/>
        </a:p>
      </dgm:t>
    </dgm:pt>
    <dgm:pt modelId="{072C180F-F6D8-429F-A397-1AF2CB7FECC7}" type="sibTrans" cxnId="{50A16B1D-0986-4E28-9605-5FD1A2576EF2}">
      <dgm:prSet/>
      <dgm:spPr>
        <a:solidFill>
          <a:srgbClr val="0000FF"/>
        </a:solidFill>
      </dgm:spPr>
      <dgm:t>
        <a:bodyPr/>
        <a:lstStyle/>
        <a:p>
          <a:endParaRPr lang="en-US"/>
        </a:p>
      </dgm:t>
    </dgm:pt>
    <dgm:pt modelId="{4C2D7BAF-C65A-4340-A82B-D44A3AFBF1E6}" type="pres">
      <dgm:prSet presAssocID="{F6E5A8A7-463E-4EB3-845A-AD60293F1BA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069D24D-E910-4297-BF9B-8194340E0B19}" type="pres">
      <dgm:prSet presAssocID="{8157B01A-D255-4542-AB62-69828D72DC3C}" presName="dummy" presStyleCnt="0"/>
      <dgm:spPr/>
    </dgm:pt>
    <dgm:pt modelId="{D4A152DA-DF86-40A2-8813-C0ED10A7598C}" type="pres">
      <dgm:prSet presAssocID="{8157B01A-D255-4542-AB62-69828D72DC3C}" presName="node" presStyleLbl="revTx" presStyleIdx="0" presStyleCnt="4" custScaleX="161905" custScaleY="86831" custRadScaleRad="115586" custRadScaleInc="1309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7BD936-3688-4587-A044-2CC7967A7A92}" type="pres">
      <dgm:prSet presAssocID="{0B346912-2893-4E53-967F-953605D23F50}" presName="sibTrans" presStyleLbl="node1" presStyleIdx="0" presStyleCnt="4"/>
      <dgm:spPr/>
      <dgm:t>
        <a:bodyPr/>
        <a:lstStyle/>
        <a:p>
          <a:endParaRPr lang="en-US"/>
        </a:p>
      </dgm:t>
    </dgm:pt>
    <dgm:pt modelId="{5ABF7F6B-ECCD-4F01-B9E8-478CA5A69596}" type="pres">
      <dgm:prSet presAssocID="{8AB40DAE-4344-447C-81EB-70F782E792D2}" presName="dummy" presStyleCnt="0"/>
      <dgm:spPr/>
    </dgm:pt>
    <dgm:pt modelId="{CDD3B91D-B254-4384-949C-243B5F11453F}" type="pres">
      <dgm:prSet presAssocID="{8AB40DAE-4344-447C-81EB-70F782E792D2}" presName="node" presStyleLbl="revTx" presStyleIdx="1" presStyleCnt="4" custScaleX="183410" custRadScaleRad="113509" custRadScaleInc="-2914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FA6443-4DC4-44FC-AEF4-8E7F9C572ABD}" type="pres">
      <dgm:prSet presAssocID="{C7DBAD60-8687-4B5A-89F4-98443BD13DC6}" presName="sibTrans" presStyleLbl="node1" presStyleIdx="1" presStyleCnt="4"/>
      <dgm:spPr/>
      <dgm:t>
        <a:bodyPr/>
        <a:lstStyle/>
        <a:p>
          <a:endParaRPr lang="en-US"/>
        </a:p>
      </dgm:t>
    </dgm:pt>
    <dgm:pt modelId="{5CBCFDAE-3D4A-4BB1-BE1B-791341FA0ACA}" type="pres">
      <dgm:prSet presAssocID="{78C78C10-3203-4C48-BBF6-0670F6C8A89E}" presName="dummy" presStyleCnt="0"/>
      <dgm:spPr/>
    </dgm:pt>
    <dgm:pt modelId="{066C2E13-B0C8-4D63-88A1-0DC7E3991D69}" type="pres">
      <dgm:prSet presAssocID="{78C78C10-3203-4C48-BBF6-0670F6C8A89E}" presName="node" presStyleLbl="revTx" presStyleIdx="2" presStyleCnt="4" custScaleX="12323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CAA71E-E111-4D83-8925-D7D4011189C5}" type="pres">
      <dgm:prSet presAssocID="{F76CB2D5-27D0-4454-BAD9-BBD6F4124080}" presName="sibTrans" presStyleLbl="node1" presStyleIdx="2" presStyleCnt="4"/>
      <dgm:spPr/>
      <dgm:t>
        <a:bodyPr/>
        <a:lstStyle/>
        <a:p>
          <a:endParaRPr lang="en-US"/>
        </a:p>
      </dgm:t>
    </dgm:pt>
    <dgm:pt modelId="{DFCC310B-47AA-4E15-8610-CEA4BC9120E3}" type="pres">
      <dgm:prSet presAssocID="{02485D7E-B5BD-4974-8328-4B2E8FC929EA}" presName="dummy" presStyleCnt="0"/>
      <dgm:spPr/>
    </dgm:pt>
    <dgm:pt modelId="{9E0A0E8A-3BB8-43CC-96A3-6D1FA55204F1}" type="pres">
      <dgm:prSet presAssocID="{02485D7E-B5BD-4974-8328-4B2E8FC929EA}" presName="node" presStyleLbl="revTx" presStyleIdx="3" presStyleCnt="4" custScaleX="121098" custRadScaleRad="104854" custRadScaleInc="-1529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5A1E73-2FDD-4B82-8199-4A928815EB55}" type="pres">
      <dgm:prSet presAssocID="{072C180F-F6D8-429F-A397-1AF2CB7FECC7}" presName="sibTrans" presStyleLbl="node1" presStyleIdx="3" presStyleCnt="4"/>
      <dgm:spPr/>
      <dgm:t>
        <a:bodyPr/>
        <a:lstStyle/>
        <a:p>
          <a:endParaRPr lang="en-US"/>
        </a:p>
      </dgm:t>
    </dgm:pt>
  </dgm:ptLst>
  <dgm:cxnLst>
    <dgm:cxn modelId="{84491041-650A-4CE0-B065-09EBB1C88D77}" type="presOf" srcId="{02485D7E-B5BD-4974-8328-4B2E8FC929EA}" destId="{9E0A0E8A-3BB8-43CC-96A3-6D1FA55204F1}" srcOrd="0" destOrd="0" presId="urn:microsoft.com/office/officeart/2005/8/layout/cycle1"/>
    <dgm:cxn modelId="{9658A742-AE27-431B-9EE7-7AAA005273FC}" type="presOf" srcId="{8AB40DAE-4344-447C-81EB-70F782E792D2}" destId="{CDD3B91D-B254-4384-949C-243B5F11453F}" srcOrd="0" destOrd="0" presId="urn:microsoft.com/office/officeart/2005/8/layout/cycle1"/>
    <dgm:cxn modelId="{56D52FEA-6188-4F96-B4FE-329187A0B305}" type="presOf" srcId="{8157B01A-D255-4542-AB62-69828D72DC3C}" destId="{D4A152DA-DF86-40A2-8813-C0ED10A7598C}" srcOrd="0" destOrd="0" presId="urn:microsoft.com/office/officeart/2005/8/layout/cycle1"/>
    <dgm:cxn modelId="{53D681C7-A2CE-44FF-9D05-014DD6546FFB}" type="presOf" srcId="{78C78C10-3203-4C48-BBF6-0670F6C8A89E}" destId="{066C2E13-B0C8-4D63-88A1-0DC7E3991D69}" srcOrd="0" destOrd="0" presId="urn:microsoft.com/office/officeart/2005/8/layout/cycle1"/>
    <dgm:cxn modelId="{D2A140B4-46C0-4195-B4B7-A14EFA7CFE0A}" srcId="{F6E5A8A7-463E-4EB3-845A-AD60293F1BA7}" destId="{78C78C10-3203-4C48-BBF6-0670F6C8A89E}" srcOrd="2" destOrd="0" parTransId="{319BCC9E-46CF-4114-98CE-FE03DDC96536}" sibTransId="{F76CB2D5-27D0-4454-BAD9-BBD6F4124080}"/>
    <dgm:cxn modelId="{6ECED112-B36C-44F3-A02B-CDBF3BB62B04}" srcId="{F6E5A8A7-463E-4EB3-845A-AD60293F1BA7}" destId="{8AB40DAE-4344-447C-81EB-70F782E792D2}" srcOrd="1" destOrd="0" parTransId="{E99EDBD2-0B98-4AD8-A4A9-A9DAC8BB19C5}" sibTransId="{C7DBAD60-8687-4B5A-89F4-98443BD13DC6}"/>
    <dgm:cxn modelId="{AC9F1370-2583-4C21-82EA-E037EB8FB4BE}" type="presOf" srcId="{C7DBAD60-8687-4B5A-89F4-98443BD13DC6}" destId="{E7FA6443-4DC4-44FC-AEF4-8E7F9C572ABD}" srcOrd="0" destOrd="0" presId="urn:microsoft.com/office/officeart/2005/8/layout/cycle1"/>
    <dgm:cxn modelId="{F33AF3CE-F36E-464D-9141-C1A1E2156F30}" type="presOf" srcId="{0B346912-2893-4E53-967F-953605D23F50}" destId="{487BD936-3688-4587-A044-2CC7967A7A92}" srcOrd="0" destOrd="0" presId="urn:microsoft.com/office/officeart/2005/8/layout/cycle1"/>
    <dgm:cxn modelId="{D349C5BC-801A-44B9-9AA9-599E9397D06C}" srcId="{F6E5A8A7-463E-4EB3-845A-AD60293F1BA7}" destId="{8157B01A-D255-4542-AB62-69828D72DC3C}" srcOrd="0" destOrd="0" parTransId="{C3254077-480C-400B-AF49-DD697FDB90F0}" sibTransId="{0B346912-2893-4E53-967F-953605D23F50}"/>
    <dgm:cxn modelId="{50A16B1D-0986-4E28-9605-5FD1A2576EF2}" srcId="{F6E5A8A7-463E-4EB3-845A-AD60293F1BA7}" destId="{02485D7E-B5BD-4974-8328-4B2E8FC929EA}" srcOrd="3" destOrd="0" parTransId="{F1EE0659-EFAB-4658-A793-9FA3E54A8815}" sibTransId="{072C180F-F6D8-429F-A397-1AF2CB7FECC7}"/>
    <dgm:cxn modelId="{C102E536-F59D-45EB-B837-F41A5F074354}" type="presOf" srcId="{F76CB2D5-27D0-4454-BAD9-BBD6F4124080}" destId="{CDCAA71E-E111-4D83-8925-D7D4011189C5}" srcOrd="0" destOrd="0" presId="urn:microsoft.com/office/officeart/2005/8/layout/cycle1"/>
    <dgm:cxn modelId="{FD866DC7-ED50-4665-8F1D-01C5C75ACD94}" type="presOf" srcId="{F6E5A8A7-463E-4EB3-845A-AD60293F1BA7}" destId="{4C2D7BAF-C65A-4340-A82B-D44A3AFBF1E6}" srcOrd="0" destOrd="0" presId="urn:microsoft.com/office/officeart/2005/8/layout/cycle1"/>
    <dgm:cxn modelId="{54A9302F-F2CF-4B49-A09F-9CAD18BBEF11}" type="presOf" srcId="{072C180F-F6D8-429F-A397-1AF2CB7FECC7}" destId="{F95A1E73-2FDD-4B82-8199-4A928815EB55}" srcOrd="0" destOrd="0" presId="urn:microsoft.com/office/officeart/2005/8/layout/cycle1"/>
    <dgm:cxn modelId="{C6F50F4F-2F13-4161-8C95-48B2868C358B}" type="presParOf" srcId="{4C2D7BAF-C65A-4340-A82B-D44A3AFBF1E6}" destId="{1069D24D-E910-4297-BF9B-8194340E0B19}" srcOrd="0" destOrd="0" presId="urn:microsoft.com/office/officeart/2005/8/layout/cycle1"/>
    <dgm:cxn modelId="{185B8517-2CEA-49FF-AD1E-4D5AF54FE995}" type="presParOf" srcId="{4C2D7BAF-C65A-4340-A82B-D44A3AFBF1E6}" destId="{D4A152DA-DF86-40A2-8813-C0ED10A7598C}" srcOrd="1" destOrd="0" presId="urn:microsoft.com/office/officeart/2005/8/layout/cycle1"/>
    <dgm:cxn modelId="{B78B67E3-2208-49EA-B70C-32F93295E237}" type="presParOf" srcId="{4C2D7BAF-C65A-4340-A82B-D44A3AFBF1E6}" destId="{487BD936-3688-4587-A044-2CC7967A7A92}" srcOrd="2" destOrd="0" presId="urn:microsoft.com/office/officeart/2005/8/layout/cycle1"/>
    <dgm:cxn modelId="{7BAFAE16-B075-4C8E-AF07-1BF50E98F079}" type="presParOf" srcId="{4C2D7BAF-C65A-4340-A82B-D44A3AFBF1E6}" destId="{5ABF7F6B-ECCD-4F01-B9E8-478CA5A69596}" srcOrd="3" destOrd="0" presId="urn:microsoft.com/office/officeart/2005/8/layout/cycle1"/>
    <dgm:cxn modelId="{757A5F5A-6792-4BC2-A2DF-7E05D7A5EBDD}" type="presParOf" srcId="{4C2D7BAF-C65A-4340-A82B-D44A3AFBF1E6}" destId="{CDD3B91D-B254-4384-949C-243B5F11453F}" srcOrd="4" destOrd="0" presId="urn:microsoft.com/office/officeart/2005/8/layout/cycle1"/>
    <dgm:cxn modelId="{E21F515B-53BB-40AB-A85F-AC9F9FC3AA0D}" type="presParOf" srcId="{4C2D7BAF-C65A-4340-A82B-D44A3AFBF1E6}" destId="{E7FA6443-4DC4-44FC-AEF4-8E7F9C572ABD}" srcOrd="5" destOrd="0" presId="urn:microsoft.com/office/officeart/2005/8/layout/cycle1"/>
    <dgm:cxn modelId="{87F05A96-CA20-4D0A-87DC-0B140D903F56}" type="presParOf" srcId="{4C2D7BAF-C65A-4340-A82B-D44A3AFBF1E6}" destId="{5CBCFDAE-3D4A-4BB1-BE1B-791341FA0ACA}" srcOrd="6" destOrd="0" presId="urn:microsoft.com/office/officeart/2005/8/layout/cycle1"/>
    <dgm:cxn modelId="{DE9D3F17-49F5-45D1-91A0-00508A1F8838}" type="presParOf" srcId="{4C2D7BAF-C65A-4340-A82B-D44A3AFBF1E6}" destId="{066C2E13-B0C8-4D63-88A1-0DC7E3991D69}" srcOrd="7" destOrd="0" presId="urn:microsoft.com/office/officeart/2005/8/layout/cycle1"/>
    <dgm:cxn modelId="{70C89F3C-3CF4-43F6-B584-D959D1521C4E}" type="presParOf" srcId="{4C2D7BAF-C65A-4340-A82B-D44A3AFBF1E6}" destId="{CDCAA71E-E111-4D83-8925-D7D4011189C5}" srcOrd="8" destOrd="0" presId="urn:microsoft.com/office/officeart/2005/8/layout/cycle1"/>
    <dgm:cxn modelId="{3A38E83D-D16E-4443-8A5B-04B3260235A9}" type="presParOf" srcId="{4C2D7BAF-C65A-4340-A82B-D44A3AFBF1E6}" destId="{DFCC310B-47AA-4E15-8610-CEA4BC9120E3}" srcOrd="9" destOrd="0" presId="urn:microsoft.com/office/officeart/2005/8/layout/cycle1"/>
    <dgm:cxn modelId="{AE81A1B9-CB1E-4AA1-9B86-40EC780DB520}" type="presParOf" srcId="{4C2D7BAF-C65A-4340-A82B-D44A3AFBF1E6}" destId="{9E0A0E8A-3BB8-43CC-96A3-6D1FA55204F1}" srcOrd="10" destOrd="0" presId="urn:microsoft.com/office/officeart/2005/8/layout/cycle1"/>
    <dgm:cxn modelId="{8032EF15-90BE-40A5-9C68-ED3F9BCA2FD7}" type="presParOf" srcId="{4C2D7BAF-C65A-4340-A82B-D44A3AFBF1E6}" destId="{F95A1E73-2FDD-4B82-8199-4A928815EB55}" srcOrd="11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A152DA-DF86-40A2-8813-C0ED10A7598C}">
      <dsp:nvSpPr>
        <dsp:cNvPr id="0" name=""/>
        <dsp:cNvSpPr/>
      </dsp:nvSpPr>
      <dsp:spPr>
        <a:xfrm>
          <a:off x="2819401" y="57149"/>
          <a:ext cx="1405279" cy="7536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2000" b="1" kern="1200" dirty="0"/>
            <a:t>المرحلة 1: الوقاية</a:t>
          </a:r>
          <a:endParaRPr lang="en-US" sz="2000" b="1" kern="1200" dirty="0"/>
        </a:p>
      </dsp:txBody>
      <dsp:txXfrm>
        <a:off x="2819401" y="57149"/>
        <a:ext cx="1405279" cy="753663"/>
      </dsp:txXfrm>
    </dsp:sp>
    <dsp:sp modelId="{487BD936-3688-4587-A044-2CC7967A7A92}">
      <dsp:nvSpPr>
        <dsp:cNvPr id="0" name=""/>
        <dsp:cNvSpPr/>
      </dsp:nvSpPr>
      <dsp:spPr>
        <a:xfrm>
          <a:off x="1543208" y="-43492"/>
          <a:ext cx="2453997" cy="2453997"/>
        </a:xfrm>
        <a:prstGeom prst="circularArrow">
          <a:avLst>
            <a:gd name="adj1" fmla="val 6897"/>
            <a:gd name="adj2" fmla="val 464954"/>
            <a:gd name="adj3" fmla="val 570509"/>
            <a:gd name="adj4" fmla="val 20344634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D3B91D-B254-4384-949C-243B5F11453F}">
      <dsp:nvSpPr>
        <dsp:cNvPr id="0" name=""/>
        <dsp:cNvSpPr/>
      </dsp:nvSpPr>
      <dsp:spPr>
        <a:xfrm>
          <a:off x="2771920" y="1493123"/>
          <a:ext cx="1591935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2000" b="1" kern="1200" dirty="0"/>
            <a:t>المرحلة 2: التأهب</a:t>
          </a:r>
          <a:endParaRPr lang="en-US" sz="2000" b="1" kern="1200" dirty="0"/>
        </a:p>
      </dsp:txBody>
      <dsp:txXfrm>
        <a:off x="2771920" y="1493123"/>
        <a:ext cx="1591935" cy="867965"/>
      </dsp:txXfrm>
    </dsp:sp>
    <dsp:sp modelId="{E7FA6443-4DC4-44FC-AEF4-8E7F9C572ABD}">
      <dsp:nvSpPr>
        <dsp:cNvPr id="0" name=""/>
        <dsp:cNvSpPr/>
      </dsp:nvSpPr>
      <dsp:spPr>
        <a:xfrm>
          <a:off x="1655398" y="92865"/>
          <a:ext cx="2453997" cy="2453997"/>
        </a:xfrm>
        <a:prstGeom prst="circularArrow">
          <a:avLst>
            <a:gd name="adj1" fmla="val 6897"/>
            <a:gd name="adj2" fmla="val 464954"/>
            <a:gd name="adj3" fmla="val 6551777"/>
            <a:gd name="adj4" fmla="val 5166028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6C2E13-B0C8-4D63-88A1-0DC7E3991D69}">
      <dsp:nvSpPr>
        <dsp:cNvPr id="0" name=""/>
        <dsp:cNvSpPr/>
      </dsp:nvSpPr>
      <dsp:spPr>
        <a:xfrm>
          <a:off x="1339841" y="1530509"/>
          <a:ext cx="1069637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2000" b="1" kern="1200" dirty="0"/>
            <a:t>المرحلة 3: الاستجابة</a:t>
          </a:r>
          <a:endParaRPr lang="en-US" sz="2400" b="1" kern="1200" dirty="0"/>
        </a:p>
      </dsp:txBody>
      <dsp:txXfrm>
        <a:off x="1339841" y="1530509"/>
        <a:ext cx="1069637" cy="867965"/>
      </dsp:txXfrm>
    </dsp:sp>
    <dsp:sp modelId="{CDCAA71E-E111-4D83-8925-D7D4011189C5}">
      <dsp:nvSpPr>
        <dsp:cNvPr id="0" name=""/>
        <dsp:cNvSpPr/>
      </dsp:nvSpPr>
      <dsp:spPr>
        <a:xfrm>
          <a:off x="1353610" y="-90582"/>
          <a:ext cx="2453997" cy="2453997"/>
        </a:xfrm>
        <a:prstGeom prst="circularArrow">
          <a:avLst>
            <a:gd name="adj1" fmla="val 6897"/>
            <a:gd name="adj2" fmla="val 464954"/>
            <a:gd name="adj3" fmla="val 10948669"/>
            <a:gd name="adj4" fmla="val 9468842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0A0E8A-3BB8-43CC-96A3-6D1FA55204F1}">
      <dsp:nvSpPr>
        <dsp:cNvPr id="0" name=""/>
        <dsp:cNvSpPr/>
      </dsp:nvSpPr>
      <dsp:spPr>
        <a:xfrm>
          <a:off x="1253861" y="83152"/>
          <a:ext cx="1051089" cy="8679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2000" b="1" kern="1200" dirty="0"/>
            <a:t>المرحلة 4: التعافي</a:t>
          </a:r>
          <a:endParaRPr lang="en-US" sz="1700" b="1" kern="1200" dirty="0"/>
        </a:p>
      </dsp:txBody>
      <dsp:txXfrm>
        <a:off x="1253861" y="83152"/>
        <a:ext cx="1051089" cy="867965"/>
      </dsp:txXfrm>
    </dsp:sp>
    <dsp:sp modelId="{F95A1E73-2FDD-4B82-8199-4A928815EB55}">
      <dsp:nvSpPr>
        <dsp:cNvPr id="0" name=""/>
        <dsp:cNvSpPr/>
      </dsp:nvSpPr>
      <dsp:spPr>
        <a:xfrm>
          <a:off x="1573038" y="-131891"/>
          <a:ext cx="2453997" cy="2453997"/>
        </a:xfrm>
        <a:prstGeom prst="circularArrow">
          <a:avLst>
            <a:gd name="adj1" fmla="val 6897"/>
            <a:gd name="adj2" fmla="val 464954"/>
            <a:gd name="adj3" fmla="val 16093976"/>
            <a:gd name="adj4" fmla="val 14500843"/>
            <a:gd name="adj5" fmla="val 8047"/>
          </a:avLst>
        </a:prstGeom>
        <a:solidFill>
          <a:srgbClr val="0000F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74446-1043-46E8-AA24-715188496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25DC46-1BF9-4D4C-92F9-2E523B36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2017-09-22T03:40:00Z</dcterms:created>
  <dcterms:modified xsi:type="dcterms:W3CDTF">2017-10-20T18:23:00Z</dcterms:modified>
  <cp:category>Addendum 11.4: Critical Incident Management Process Phases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