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95124" w14:textId="45BE8D21" w:rsidR="00E03006" w:rsidRDefault="006B07BC" w:rsidP="00E80349">
      <w:pPr>
        <w:pStyle w:val="ATAModuleTitle"/>
        <w:rPr>
          <w:rFonts w:asciiTheme="majorHAnsi" w:hAnsiTheme="majorHAnsi"/>
        </w:rPr>
      </w:pPr>
      <w:bookmarkStart w:id="0" w:name="_GoBack"/>
      <w:r w:rsidRPr="0042024F">
        <w:rPr>
          <w:rFonts w:eastAsia="Calibri"/>
          <w:noProof/>
        </w:rPr>
        <w:drawing>
          <wp:anchor distT="0" distB="0" distL="114300" distR="114300" simplePos="0" relativeHeight="251658240" behindDoc="0" locked="0" layoutInCell="1" allowOverlap="1" wp14:anchorId="23D9F91F" wp14:editId="3A38FD2F">
            <wp:simplePos x="0" y="0"/>
            <wp:positionH relativeFrom="column">
              <wp:posOffset>5276850</wp:posOffset>
            </wp:positionH>
            <wp:positionV relativeFrom="paragraph">
              <wp:posOffset>-38100</wp:posOffset>
            </wp:positionV>
            <wp:extent cx="274320" cy="274320"/>
            <wp:effectExtent l="0" t="0" r="0" b="0"/>
            <wp:wrapNone/>
            <wp:docPr id="3" name="Picture Placeholder 1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Placeholder 13"/>
                    <pic:cNvPicPr>
                      <a:picLocks noGrp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Theme="majorHAnsi" w:hAnsiTheme="majorHAnsi"/>
        </w:rPr>
        <w:t>Reference</w:t>
      </w:r>
      <w:r w:rsidR="006B2C72" w:rsidRPr="00146C03">
        <w:rPr>
          <w:rFonts w:asciiTheme="majorHAnsi" w:hAnsiTheme="majorHAnsi"/>
        </w:rPr>
        <w:t xml:space="preserve"> </w:t>
      </w:r>
      <w:r w:rsidR="001A2825">
        <w:rPr>
          <w:rFonts w:asciiTheme="majorHAnsi" w:hAnsiTheme="majorHAnsi"/>
        </w:rPr>
        <w:t>11.</w:t>
      </w:r>
      <w:r>
        <w:rPr>
          <w:rFonts w:asciiTheme="majorHAnsi" w:hAnsiTheme="majorHAnsi"/>
        </w:rPr>
        <w:t>1</w:t>
      </w:r>
      <w:r w:rsidR="00E03006" w:rsidRPr="00E03006">
        <w:rPr>
          <w:rFonts w:asciiTheme="majorHAnsi" w:hAnsiTheme="majorHAnsi"/>
        </w:rPr>
        <w:t xml:space="preserve">: </w:t>
      </w:r>
      <w:r w:rsidR="001A2825">
        <w:rPr>
          <w:rFonts w:asciiTheme="majorHAnsi" w:hAnsiTheme="majorHAnsi"/>
        </w:rPr>
        <w:t>Critical Incident management Process Phases</w:t>
      </w:r>
    </w:p>
    <w:tbl>
      <w:tblPr>
        <w:tblW w:w="8640" w:type="dxa"/>
        <w:tblInd w:w="105" w:type="dxa"/>
        <w:tblLook w:val="04A0" w:firstRow="1" w:lastRow="0" w:firstColumn="1" w:lastColumn="0" w:noHBand="0" w:noVBand="1"/>
      </w:tblPr>
      <w:tblGrid>
        <w:gridCol w:w="2465"/>
        <w:gridCol w:w="6175"/>
      </w:tblGrid>
      <w:tr w:rsidR="0090350A" w:rsidRPr="002A46AC" w14:paraId="72FC0DBB" w14:textId="77777777" w:rsidTr="009C56BA">
        <w:tc>
          <w:tcPr>
            <w:tcW w:w="2465" w:type="dxa"/>
            <w:shd w:val="clear" w:color="auto" w:fill="auto"/>
          </w:tcPr>
          <w:p w14:paraId="6487DAA6" w14:textId="77777777" w:rsidR="0090350A" w:rsidRPr="002A46AC" w:rsidRDefault="0090350A" w:rsidP="00A26363">
            <w:pPr>
              <w:rPr>
                <w:rFonts w:asciiTheme="majorHAnsi" w:hAnsiTheme="majorHAnsi"/>
                <w:b/>
              </w:rPr>
            </w:pPr>
            <w:r w:rsidRPr="002A46AC">
              <w:rPr>
                <w:rFonts w:asciiTheme="majorHAnsi" w:hAnsiTheme="majorHAnsi"/>
                <w:b/>
              </w:rPr>
              <w:t>Purpose:</w:t>
            </w:r>
          </w:p>
        </w:tc>
        <w:tc>
          <w:tcPr>
            <w:tcW w:w="6175" w:type="dxa"/>
            <w:shd w:val="clear" w:color="auto" w:fill="auto"/>
          </w:tcPr>
          <w:p w14:paraId="4ADBF2BD" w14:textId="4C070E5B" w:rsidR="009C56BA" w:rsidRPr="002A46AC" w:rsidRDefault="0090350A" w:rsidP="001A2825">
            <w:pPr>
              <w:pStyle w:val="ATABody"/>
            </w:pPr>
            <w:r>
              <w:t xml:space="preserve">To provide </w:t>
            </w:r>
            <w:r w:rsidR="00AA20C8">
              <w:t>an overview of the critical incident management process</w:t>
            </w:r>
            <w:r w:rsidR="001A2825">
              <w:t xml:space="preserve"> phases</w:t>
            </w:r>
            <w:r w:rsidR="00D5794F">
              <w:t xml:space="preserve"> </w:t>
            </w:r>
          </w:p>
        </w:tc>
      </w:tr>
    </w:tbl>
    <w:p w14:paraId="4F97E5BD" w14:textId="77777777" w:rsidR="009C56BA" w:rsidRDefault="009C56BA"/>
    <w:p w14:paraId="11555D6D" w14:textId="77777777" w:rsidR="009C56BA" w:rsidRDefault="009C56BA"/>
    <w:p w14:paraId="68CEE29A" w14:textId="57B2F8FC" w:rsidR="001A2825" w:rsidRDefault="001A2825">
      <w:r w:rsidRPr="001A2825">
        <w:rPr>
          <w:noProof/>
        </w:rPr>
        <w:drawing>
          <wp:inline distT="0" distB="0" distL="0" distR="0" wp14:anchorId="0806B9CF" wp14:editId="3C329C1B">
            <wp:extent cx="5486400" cy="2453054"/>
            <wp:effectExtent l="0" t="133350" r="0" b="4254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63D82860" w14:textId="77777777" w:rsidR="001A2825" w:rsidRDefault="001A2825"/>
    <w:p w14:paraId="604BF32E" w14:textId="5B9BD79B" w:rsidR="001A2825" w:rsidRDefault="001A2825" w:rsidP="001A2825">
      <w:pPr>
        <w:pStyle w:val="ATAHeadingLevel1"/>
      </w:pPr>
      <w:r>
        <w:t>Phase 1: Prevention</w:t>
      </w:r>
    </w:p>
    <w:p w14:paraId="75357BB7" w14:textId="6AF8931E" w:rsidR="001A2825" w:rsidRPr="00AA20C8" w:rsidRDefault="001A2825" w:rsidP="001A2825">
      <w:pPr>
        <w:pStyle w:val="ATABulletLevel01BodySlide"/>
      </w:pPr>
      <w:r w:rsidRPr="00AA20C8">
        <w:t>Is intended to prevent initial incident and reoccurrences</w:t>
      </w:r>
      <w:r w:rsidR="00757F70">
        <w:t>.</w:t>
      </w:r>
    </w:p>
    <w:p w14:paraId="1FD80116" w14:textId="5D30C67B" w:rsidR="001A2825" w:rsidRPr="00AA20C8" w:rsidRDefault="001A2825" w:rsidP="001A2825">
      <w:pPr>
        <w:pStyle w:val="ATABulletLevel01BodySlide"/>
      </w:pPr>
      <w:r w:rsidRPr="00AA20C8">
        <w:t>Can be either the first or the last phase</w:t>
      </w:r>
      <w:r w:rsidR="00757F70">
        <w:t>.</w:t>
      </w:r>
    </w:p>
    <w:p w14:paraId="5CBD0CAB" w14:textId="333B3BC5" w:rsidR="001A2825" w:rsidRDefault="001A2825" w:rsidP="001A2825">
      <w:pPr>
        <w:pStyle w:val="ATABulletLevel01BodySlide"/>
      </w:pPr>
      <w:r w:rsidRPr="00AA20C8">
        <w:t xml:space="preserve">Must include evaluation and implementation of security measures for both critical </w:t>
      </w:r>
      <w:r>
        <w:t>i</w:t>
      </w:r>
      <w:r w:rsidRPr="00AA20C8">
        <w:t>nfrastructure and very important persons</w:t>
      </w:r>
      <w:r w:rsidR="00757F70">
        <w:t>.</w:t>
      </w:r>
    </w:p>
    <w:p w14:paraId="4ADF9C41" w14:textId="7F7A4685" w:rsidR="001A2825" w:rsidRDefault="001A2825" w:rsidP="001A2825">
      <w:pPr>
        <w:pStyle w:val="ATAHeadingLevel1"/>
      </w:pPr>
      <w:r>
        <w:t>Phase 2: Preparedness</w:t>
      </w:r>
    </w:p>
    <w:p w14:paraId="0A565036" w14:textId="0270BB4E" w:rsidR="001A2825" w:rsidRPr="00AA20C8" w:rsidRDefault="001A2825" w:rsidP="001A2825">
      <w:pPr>
        <w:pStyle w:val="ATABulletLevel01BodySlide"/>
      </w:pPr>
      <w:r w:rsidRPr="00AA20C8">
        <w:t>Provides pre-established guidance on how to coordinate and control responses to the incident</w:t>
      </w:r>
      <w:r w:rsidR="00757F70">
        <w:t>.</w:t>
      </w:r>
    </w:p>
    <w:p w14:paraId="2C4FD6D3" w14:textId="78C07E98" w:rsidR="001A2825" w:rsidRPr="00AA20C8" w:rsidRDefault="001A2825" w:rsidP="001A2825">
      <w:pPr>
        <w:pStyle w:val="ATABulletLevel01BodySlide"/>
      </w:pPr>
      <w:r w:rsidRPr="00AA20C8">
        <w:t>Provides specific</w:t>
      </w:r>
      <w:r>
        <w:t>,</w:t>
      </w:r>
      <w:r w:rsidRPr="00AA20C8">
        <w:t xml:space="preserve"> </w:t>
      </w:r>
      <w:r>
        <w:t xml:space="preserve">necessary </w:t>
      </w:r>
      <w:r w:rsidRPr="00AA20C8">
        <w:t>communication guidance:</w:t>
      </w:r>
    </w:p>
    <w:p w14:paraId="0DF120C4" w14:textId="77777777" w:rsidR="001A2825" w:rsidRPr="00AA20C8" w:rsidRDefault="001A2825" w:rsidP="001A2825">
      <w:pPr>
        <w:pStyle w:val="ATABulletLevel02BodySlide"/>
      </w:pPr>
      <w:r w:rsidRPr="00AA20C8">
        <w:t>Chain of command directive</w:t>
      </w:r>
    </w:p>
    <w:p w14:paraId="7682B6F2" w14:textId="77777777" w:rsidR="001A2825" w:rsidRPr="00AA20C8" w:rsidRDefault="001A2825" w:rsidP="001A2825">
      <w:pPr>
        <w:pStyle w:val="ATABulletLevel02BodySlide"/>
      </w:pPr>
      <w:r w:rsidRPr="00AA20C8">
        <w:t>Radio protocol</w:t>
      </w:r>
    </w:p>
    <w:p w14:paraId="71799278" w14:textId="0FB16784" w:rsidR="00AA20C8" w:rsidRPr="00AA20C8" w:rsidRDefault="001A2825" w:rsidP="001A2825">
      <w:pPr>
        <w:pStyle w:val="ATABulletLevel02BodySlide"/>
      </w:pPr>
      <w:r w:rsidRPr="00AA20C8">
        <w:t>Communication with media representatives</w:t>
      </w:r>
    </w:p>
    <w:p w14:paraId="0A1ADC43" w14:textId="0BC59418" w:rsidR="00AA20C8" w:rsidRDefault="001A2825" w:rsidP="001A2825">
      <w:pPr>
        <w:pStyle w:val="ATAHeadingLevel1"/>
      </w:pPr>
      <w:r>
        <w:t>Phase 3: Response</w:t>
      </w:r>
    </w:p>
    <w:p w14:paraId="623C396B" w14:textId="39CE3E6F" w:rsidR="001A2825" w:rsidRPr="00AA20C8" w:rsidRDefault="001A2825" w:rsidP="001A2825">
      <w:pPr>
        <w:pStyle w:val="ATABulletLevel01BodySlide"/>
      </w:pPr>
      <w:r w:rsidRPr="00AA20C8">
        <w:t>An immediate reaction or relief effort focused on saving lives and limiting damage to property</w:t>
      </w:r>
      <w:r w:rsidR="00757F70">
        <w:t>.</w:t>
      </w:r>
    </w:p>
    <w:p w14:paraId="3B73B95B" w14:textId="77777777" w:rsidR="001A2825" w:rsidRDefault="001A2825" w:rsidP="001A2825">
      <w:pPr>
        <w:pStyle w:val="ATABulletLevel01BodySlide"/>
      </w:pPr>
      <w:r w:rsidRPr="00AA20C8">
        <w:t>Managers:</w:t>
      </w:r>
    </w:p>
    <w:p w14:paraId="2D9720F7" w14:textId="383DEA6A" w:rsidR="001A2825" w:rsidRPr="00AA20C8" w:rsidRDefault="001A2825" w:rsidP="001A2825">
      <w:pPr>
        <w:pStyle w:val="ATABulletLevel02BodySlide"/>
      </w:pPr>
      <w:r>
        <w:t>Oversee immediate response actions</w:t>
      </w:r>
      <w:r w:rsidR="00757F70">
        <w:t>.</w:t>
      </w:r>
    </w:p>
    <w:p w14:paraId="619A98B8" w14:textId="3A56B6EE" w:rsidR="001A2825" w:rsidRPr="00AA20C8" w:rsidRDefault="001A2825" w:rsidP="001A2825">
      <w:pPr>
        <w:pStyle w:val="ATABulletLevel02BodySlide"/>
      </w:pPr>
      <w:r w:rsidRPr="00AA20C8">
        <w:t>Rely on the written plan as predetermined in Phase 2</w:t>
      </w:r>
      <w:r w:rsidR="00757F70">
        <w:t>.</w:t>
      </w:r>
    </w:p>
    <w:p w14:paraId="02E1C1AF" w14:textId="2BB49ACF" w:rsidR="001A2825" w:rsidRPr="00AA20C8" w:rsidRDefault="001A2825" w:rsidP="001A2825">
      <w:pPr>
        <w:pStyle w:val="ATABulletLevel02BodySlide"/>
      </w:pPr>
      <w:r w:rsidRPr="00AA20C8">
        <w:t>Continuously anticipate any further actions that may be necessary to control and resolve the situation</w:t>
      </w:r>
      <w:r w:rsidR="00757F70">
        <w:t>.</w:t>
      </w:r>
    </w:p>
    <w:p w14:paraId="35CF0E66" w14:textId="4AA3C294" w:rsidR="001A2825" w:rsidRDefault="001A2825" w:rsidP="001A2825">
      <w:pPr>
        <w:pStyle w:val="ATABulletLevel01BodySlide"/>
      </w:pPr>
      <w:r w:rsidRPr="00AA20C8">
        <w:t>Damage control is an essential element of critical incident management</w:t>
      </w:r>
      <w:r w:rsidR="00757F70">
        <w:t>.</w:t>
      </w:r>
    </w:p>
    <w:p w14:paraId="1000F85B" w14:textId="4C3544BD" w:rsidR="001A2825" w:rsidRDefault="001A2825" w:rsidP="001A2825">
      <w:pPr>
        <w:pStyle w:val="ATAHeadingLevel1"/>
        <w:rPr>
          <w:rFonts w:eastAsia="MS PGothic"/>
        </w:rPr>
      </w:pPr>
      <w:r>
        <w:rPr>
          <w:rFonts w:eastAsia="MS PGothic"/>
        </w:rPr>
        <w:lastRenderedPageBreak/>
        <w:t>Phase 4: Recovery</w:t>
      </w:r>
    </w:p>
    <w:p w14:paraId="21FA6A58" w14:textId="076C7745" w:rsidR="001A2825" w:rsidRPr="00AA20C8" w:rsidRDefault="001A2825" w:rsidP="001A2825">
      <w:pPr>
        <w:pStyle w:val="ATABulletLevel01BodySlide"/>
      </w:pPr>
      <w:r w:rsidRPr="00AA20C8">
        <w:t>Also known as consequence management</w:t>
      </w:r>
      <w:r w:rsidR="00757F70">
        <w:t>.</w:t>
      </w:r>
    </w:p>
    <w:p w14:paraId="755275B7" w14:textId="67283AD3" w:rsidR="008B6063" w:rsidRDefault="001A2825" w:rsidP="001A2825">
      <w:pPr>
        <w:pStyle w:val="ATABulletLevel01BodySlide"/>
      </w:pPr>
      <w:r w:rsidRPr="00AA20C8">
        <w:t>The process of repair and restoration</w:t>
      </w:r>
      <w:r w:rsidR="00757F70">
        <w:t>.</w:t>
      </w:r>
      <w:r w:rsidRPr="00AA20C8">
        <w:t xml:space="preserve"> </w:t>
      </w:r>
    </w:p>
    <w:p w14:paraId="1ECE7136" w14:textId="0D65A9AA" w:rsidR="001A2825" w:rsidRPr="00AA20C8" w:rsidRDefault="008B6063" w:rsidP="001A2825">
      <w:pPr>
        <w:pStyle w:val="ATABulletLevel01BodySlide"/>
      </w:pPr>
      <w:r>
        <w:t>D</w:t>
      </w:r>
      <w:r w:rsidR="001A2825" w:rsidRPr="00AA20C8">
        <w:t>ecision-making responsibility is transferred to other predetermined officials</w:t>
      </w:r>
      <w:r w:rsidR="00757F70">
        <w:t>.</w:t>
      </w:r>
    </w:p>
    <w:p w14:paraId="104471C2" w14:textId="102A9FA6" w:rsidR="001A2825" w:rsidRPr="00AA20C8" w:rsidRDefault="008B6063" w:rsidP="001A2825">
      <w:pPr>
        <w:pStyle w:val="ATABulletLevel01BodySlide"/>
      </w:pPr>
      <w:r>
        <w:t>Though the incident has been resolved, t</w:t>
      </w:r>
      <w:r w:rsidR="001A2825" w:rsidRPr="00AA20C8">
        <w:t>he environment</w:t>
      </w:r>
      <w:r>
        <w:t xml:space="preserve"> is</w:t>
      </w:r>
      <w:r w:rsidR="001A2825" w:rsidRPr="00AA20C8">
        <w:t xml:space="preserve"> still unstable</w:t>
      </w:r>
      <w:r>
        <w:t>,</w:t>
      </w:r>
      <w:r w:rsidR="001A2825" w:rsidRPr="00AA20C8">
        <w:t xml:space="preserve"> </w:t>
      </w:r>
      <w:r>
        <w:t>making recovery</w:t>
      </w:r>
      <w:r w:rsidR="001A2825" w:rsidRPr="00AA20C8">
        <w:t xml:space="preserve"> a </w:t>
      </w:r>
      <w:r>
        <w:t xml:space="preserve">highly </w:t>
      </w:r>
      <w:r w:rsidR="001A2825" w:rsidRPr="00AA20C8">
        <w:t>volatile p</w:t>
      </w:r>
      <w:r>
        <w:t>hase</w:t>
      </w:r>
      <w:r w:rsidR="00757F70">
        <w:t>.</w:t>
      </w:r>
    </w:p>
    <w:p w14:paraId="0C4ACEC7" w14:textId="77777777" w:rsidR="00AA20C8" w:rsidRPr="00AA20C8" w:rsidRDefault="00AA20C8" w:rsidP="00AA20C8">
      <w:pPr>
        <w:rPr>
          <w:rFonts w:ascii="Cambria" w:hAnsi="Cambria"/>
          <w:color w:val="262626" w:themeColor="text1" w:themeTint="D9"/>
        </w:rPr>
      </w:pPr>
    </w:p>
    <w:sectPr w:rsidR="00AA20C8" w:rsidRPr="00AA20C8" w:rsidSect="00C644D9">
      <w:headerReference w:type="default" r:id="rId18"/>
      <w:footerReference w:type="default" r:id="rId1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51300" w14:textId="77777777" w:rsidR="000575F4" w:rsidRDefault="000575F4" w:rsidP="00C82114">
      <w:r>
        <w:separator/>
      </w:r>
    </w:p>
  </w:endnote>
  <w:endnote w:type="continuationSeparator" w:id="0">
    <w:p w14:paraId="0E8AF53C" w14:textId="77777777" w:rsidR="000575F4" w:rsidRDefault="000575F4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57"/>
      <w:gridCol w:w="1183"/>
    </w:tblGrid>
    <w:tr w:rsidR="00C305B2" w:rsidRPr="00A56C2F" w14:paraId="058951A2" w14:textId="77777777" w:rsidTr="00F16863">
      <w:tc>
        <w:tcPr>
          <w:tcW w:w="8100" w:type="dxa"/>
          <w:shd w:val="clear" w:color="auto" w:fill="auto"/>
        </w:tcPr>
        <w:p w14:paraId="058951A0" w14:textId="77777777" w:rsidR="00C305B2" w:rsidRPr="008B2B7F" w:rsidRDefault="006B07BC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058951A1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6B07BC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6B07BC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058951A3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4C754A" w14:textId="77777777" w:rsidR="000575F4" w:rsidRDefault="000575F4" w:rsidP="00C82114">
      <w:r>
        <w:separator/>
      </w:r>
    </w:p>
  </w:footnote>
  <w:footnote w:type="continuationSeparator" w:id="0">
    <w:p w14:paraId="14B1E088" w14:textId="77777777" w:rsidR="000575F4" w:rsidRDefault="000575F4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2"/>
      <w:gridCol w:w="4328"/>
    </w:tblGrid>
    <w:tr w:rsidR="0046704B" w:rsidRPr="00456B51" w14:paraId="0589519E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A38FFCB2E2B349618AA3A519B50B099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589519C" w14:textId="77777777" w:rsidR="008564F0" w:rsidRPr="00456B51" w:rsidRDefault="00F16234" w:rsidP="00E03006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A45B4">
                <w:rPr>
                  <w:rFonts w:cs="Arial"/>
                </w:rPr>
                <w:t>1</w:t>
              </w:r>
              <w:r w:rsidR="00E03006">
                <w:rPr>
                  <w:rFonts w:cs="Arial"/>
                </w:rPr>
                <w:t>1</w:t>
              </w:r>
              <w:r w:rsidRPr="00F16234">
                <w:rPr>
                  <w:rFonts w:cs="Arial"/>
                </w:rPr>
                <w:t xml:space="preserve">: </w:t>
              </w:r>
              <w:r w:rsidR="00E03006">
                <w:rPr>
                  <w:rFonts w:cs="Arial"/>
                </w:rPr>
                <w:t>Policies and Procedures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0589519D" w14:textId="3B1C3725" w:rsidR="008564F0" w:rsidRPr="00456B51" w:rsidRDefault="006B07BC" w:rsidP="006B07BC">
              <w:pPr>
                <w:pStyle w:val="ATAHeader"/>
                <w:jc w:val="right"/>
              </w:pPr>
              <w:r>
                <w:t>Reference</w:t>
              </w:r>
              <w:r w:rsidR="00C644D9">
                <w:t xml:space="preserve"> 1</w:t>
              </w:r>
              <w:r w:rsidR="00E03006">
                <w:t>1</w:t>
              </w:r>
              <w:r w:rsidR="00C644D9">
                <w:t>.</w:t>
              </w:r>
              <w:r>
                <w:t>1</w:t>
              </w:r>
              <w:r w:rsidR="00C644D9">
                <w:t xml:space="preserve">: </w:t>
              </w:r>
              <w:r w:rsidR="001A2825">
                <w:t>Critical Incident Management Process Phases</w:t>
              </w:r>
            </w:p>
          </w:sdtContent>
        </w:sdt>
      </w:tc>
    </w:tr>
  </w:tbl>
  <w:p w14:paraId="0589519F" w14:textId="77777777" w:rsidR="008E31C0" w:rsidRDefault="008E31C0" w:rsidP="00146C0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C2B1A"/>
    <w:multiLevelType w:val="hybridMultilevel"/>
    <w:tmpl w:val="3492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3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9041B8"/>
    <w:multiLevelType w:val="hybridMultilevel"/>
    <w:tmpl w:val="0944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9932E0"/>
    <w:multiLevelType w:val="hybridMultilevel"/>
    <w:tmpl w:val="E6A03B3E"/>
    <w:lvl w:ilvl="0" w:tplc="9A3C722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7"/>
  </w:num>
  <w:num w:numId="9">
    <w:abstractNumId w:val="0"/>
  </w:num>
  <w:num w:numId="10">
    <w:abstractNumId w:val="16"/>
  </w:num>
  <w:num w:numId="11">
    <w:abstractNumId w:val="17"/>
  </w:num>
  <w:num w:numId="12">
    <w:abstractNumId w:val="17"/>
  </w:num>
  <w:num w:numId="13">
    <w:abstractNumId w:val="12"/>
  </w:num>
  <w:num w:numId="14">
    <w:abstractNumId w:val="24"/>
  </w:num>
  <w:num w:numId="15">
    <w:abstractNumId w:val="13"/>
  </w:num>
  <w:num w:numId="16">
    <w:abstractNumId w:val="25"/>
  </w:num>
  <w:num w:numId="17">
    <w:abstractNumId w:val="25"/>
    <w:lvlOverride w:ilvl="0">
      <w:startOverride w:val="1"/>
    </w:lvlOverride>
  </w:num>
  <w:num w:numId="18">
    <w:abstractNumId w:val="24"/>
  </w:num>
  <w:num w:numId="19">
    <w:abstractNumId w:val="5"/>
  </w:num>
  <w:num w:numId="20">
    <w:abstractNumId w:val="25"/>
  </w:num>
  <w:num w:numId="21">
    <w:abstractNumId w:val="1"/>
  </w:num>
  <w:num w:numId="22">
    <w:abstractNumId w:val="15"/>
  </w:num>
  <w:num w:numId="23">
    <w:abstractNumId w:val="18"/>
  </w:num>
  <w:num w:numId="24">
    <w:abstractNumId w:val="14"/>
  </w:num>
  <w:num w:numId="25">
    <w:abstractNumId w:val="22"/>
  </w:num>
  <w:num w:numId="26">
    <w:abstractNumId w:val="26"/>
  </w:num>
  <w:num w:numId="27">
    <w:abstractNumId w:val="3"/>
  </w:num>
  <w:num w:numId="28">
    <w:abstractNumId w:val="20"/>
  </w:num>
  <w:num w:numId="29">
    <w:abstractNumId w:val="19"/>
  </w:num>
  <w:num w:numId="30">
    <w:abstractNumId w:val="19"/>
    <w:lvlOverride w:ilvl="0">
      <w:startOverride w:val="1"/>
    </w:lvlOverride>
  </w:num>
  <w:num w:numId="31">
    <w:abstractNumId w:val="19"/>
  </w:num>
  <w:num w:numId="32">
    <w:abstractNumId w:val="2"/>
  </w:num>
  <w:num w:numId="33">
    <w:abstractNumId w:val="21"/>
  </w:num>
  <w:num w:numId="34">
    <w:abstractNumId w:val="4"/>
  </w:num>
  <w:num w:numId="35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22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3368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22FF"/>
    <w:rsid w:val="00054910"/>
    <w:rsid w:val="000575F4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61D6"/>
    <w:rsid w:val="000F784C"/>
    <w:rsid w:val="00102A51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6C03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3FD5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825"/>
    <w:rsid w:val="001A2DB4"/>
    <w:rsid w:val="001A7C08"/>
    <w:rsid w:val="001B036F"/>
    <w:rsid w:val="001B1071"/>
    <w:rsid w:val="001B1AE3"/>
    <w:rsid w:val="001B1B58"/>
    <w:rsid w:val="001B237E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0D60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04B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448E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7E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41B2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0560"/>
    <w:rsid w:val="006B07BC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4D68"/>
    <w:rsid w:val="00756788"/>
    <w:rsid w:val="00756A24"/>
    <w:rsid w:val="00757F70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86C8E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466"/>
    <w:rsid w:val="00832BC2"/>
    <w:rsid w:val="00832C31"/>
    <w:rsid w:val="008348D9"/>
    <w:rsid w:val="0083495F"/>
    <w:rsid w:val="008374B6"/>
    <w:rsid w:val="00837B72"/>
    <w:rsid w:val="008403A3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063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31C0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50A"/>
    <w:rsid w:val="0090380F"/>
    <w:rsid w:val="00910FAB"/>
    <w:rsid w:val="009140B2"/>
    <w:rsid w:val="00917AA4"/>
    <w:rsid w:val="00920C1C"/>
    <w:rsid w:val="00925E90"/>
    <w:rsid w:val="009263DF"/>
    <w:rsid w:val="0092682C"/>
    <w:rsid w:val="00931831"/>
    <w:rsid w:val="00934215"/>
    <w:rsid w:val="0093581B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C56BA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24895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0C8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4CB4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44D9"/>
    <w:rsid w:val="00C65F9D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5794F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344"/>
    <w:rsid w:val="00DF0697"/>
    <w:rsid w:val="00DF089E"/>
    <w:rsid w:val="00DF2DB3"/>
    <w:rsid w:val="00DF3A45"/>
    <w:rsid w:val="00DF3D63"/>
    <w:rsid w:val="00DF58FF"/>
    <w:rsid w:val="00DF6DE3"/>
    <w:rsid w:val="00DF6F84"/>
    <w:rsid w:val="00DF7EBA"/>
    <w:rsid w:val="00E03006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3A66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32A0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0F3C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6C33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white">
      <v:fill color="white"/>
    </o:shapedefaults>
    <o:shapelayout v:ext="edit">
      <o:idmap v:ext="edit" data="1"/>
    </o:shapelayout>
  </w:shapeDefaults>
  <w:decimalSymbol w:val="."/>
  <w:listSeparator w:val=","/>
  <w14:docId w14:val="058951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1A2825"/>
    <w:pPr>
      <w:keepNext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1A2825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1A2825"/>
    <w:pPr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1A2825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003368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003368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786C8E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786C8E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786C8E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786C8E"/>
    <w:rPr>
      <w:rFonts w:ascii="Cambria" w:hAnsi="Cambria"/>
      <w:color w:val="262626" w:themeColor="text1" w:themeTint="D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1A2825"/>
    <w:pPr>
      <w:keepNext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1A2825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1A2825"/>
    <w:pPr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1A2825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003368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003368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786C8E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786C8E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786C8E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786C8E"/>
    <w:rPr>
      <w:rFonts w:ascii="Cambria" w:hAnsi="Cambria"/>
      <w:color w:val="262626" w:themeColor="text1" w:themeTint="D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Data" Target="diagrams/data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microsoft.com/office/2007/relationships/diagramDrawing" Target="diagrams/drawing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Layout" Target="diagrams/layout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E5A8A7-463E-4EB3-845A-AD60293F1BA7}" type="doc">
      <dgm:prSet loTypeId="urn:microsoft.com/office/officeart/2005/8/layout/cycle1" loCatId="cycl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8157B01A-D255-4542-AB62-69828D72DC3C}">
      <dgm:prSet phldrT="[Text]" custT="1"/>
      <dgm:spPr/>
      <dgm:t>
        <a:bodyPr/>
        <a:lstStyle/>
        <a:p>
          <a:r>
            <a:rPr lang="en-US" sz="2000" b="1" dirty="0" smtClean="0"/>
            <a:t>Phase 1: Prevention</a:t>
          </a:r>
          <a:endParaRPr lang="en-US" sz="2000" b="1" dirty="0"/>
        </a:p>
      </dgm:t>
    </dgm:pt>
    <dgm:pt modelId="{C3254077-480C-400B-AF49-DD697FDB90F0}" type="parTrans" cxnId="{D349C5BC-801A-44B9-9AA9-599E9397D06C}">
      <dgm:prSet/>
      <dgm:spPr/>
      <dgm:t>
        <a:bodyPr/>
        <a:lstStyle/>
        <a:p>
          <a:endParaRPr lang="en-US"/>
        </a:p>
      </dgm:t>
    </dgm:pt>
    <dgm:pt modelId="{0B346912-2893-4E53-967F-953605D23F50}" type="sibTrans" cxnId="{D349C5BC-801A-44B9-9AA9-599E9397D06C}">
      <dgm:prSet/>
      <dgm:spPr>
        <a:solidFill>
          <a:srgbClr val="0000FF"/>
        </a:solidFill>
      </dgm:spPr>
      <dgm:t>
        <a:bodyPr/>
        <a:lstStyle/>
        <a:p>
          <a:endParaRPr lang="en-US"/>
        </a:p>
      </dgm:t>
    </dgm:pt>
    <dgm:pt modelId="{8AB40DAE-4344-447C-81EB-70F782E792D2}">
      <dgm:prSet phldrT="[Text]" custT="1"/>
      <dgm:spPr/>
      <dgm:t>
        <a:bodyPr/>
        <a:lstStyle/>
        <a:p>
          <a:pPr>
            <a:lnSpc>
              <a:spcPct val="100000"/>
            </a:lnSpc>
          </a:pPr>
          <a:r>
            <a:rPr lang="en-US" sz="2000" b="1" dirty="0" smtClean="0"/>
            <a:t>Phase 2: Preparedness</a:t>
          </a:r>
          <a:endParaRPr lang="en-US" sz="2000" b="1" dirty="0"/>
        </a:p>
      </dgm:t>
    </dgm:pt>
    <dgm:pt modelId="{E99EDBD2-0B98-4AD8-A4A9-A9DAC8BB19C5}" type="parTrans" cxnId="{6ECED112-B36C-44F3-A02B-CDBF3BB62B04}">
      <dgm:prSet/>
      <dgm:spPr/>
      <dgm:t>
        <a:bodyPr/>
        <a:lstStyle/>
        <a:p>
          <a:endParaRPr lang="en-US"/>
        </a:p>
      </dgm:t>
    </dgm:pt>
    <dgm:pt modelId="{C7DBAD60-8687-4B5A-89F4-98443BD13DC6}" type="sibTrans" cxnId="{6ECED112-B36C-44F3-A02B-CDBF3BB62B04}">
      <dgm:prSet/>
      <dgm:spPr>
        <a:solidFill>
          <a:srgbClr val="0000FF"/>
        </a:solidFill>
      </dgm:spPr>
      <dgm:t>
        <a:bodyPr/>
        <a:lstStyle/>
        <a:p>
          <a:endParaRPr lang="en-US"/>
        </a:p>
      </dgm:t>
    </dgm:pt>
    <dgm:pt modelId="{78C78C10-3203-4C48-BBF6-0670F6C8A89E}">
      <dgm:prSet phldrT="[Text]" custT="1"/>
      <dgm:spPr/>
      <dgm:t>
        <a:bodyPr/>
        <a:lstStyle/>
        <a:p>
          <a:r>
            <a:rPr lang="en-US" sz="2000" b="1" dirty="0" smtClean="0"/>
            <a:t>Phase 3: Response</a:t>
          </a:r>
          <a:endParaRPr lang="en-US" sz="2400" b="1" dirty="0"/>
        </a:p>
      </dgm:t>
    </dgm:pt>
    <dgm:pt modelId="{319BCC9E-46CF-4114-98CE-FE03DDC96536}" type="parTrans" cxnId="{D2A140B4-46C0-4195-B4B7-A14EFA7CFE0A}">
      <dgm:prSet/>
      <dgm:spPr/>
      <dgm:t>
        <a:bodyPr/>
        <a:lstStyle/>
        <a:p>
          <a:endParaRPr lang="en-US"/>
        </a:p>
      </dgm:t>
    </dgm:pt>
    <dgm:pt modelId="{F76CB2D5-27D0-4454-BAD9-BBD6F4124080}" type="sibTrans" cxnId="{D2A140B4-46C0-4195-B4B7-A14EFA7CFE0A}">
      <dgm:prSet/>
      <dgm:spPr>
        <a:solidFill>
          <a:srgbClr val="0000FF"/>
        </a:solidFill>
      </dgm:spPr>
      <dgm:t>
        <a:bodyPr/>
        <a:lstStyle/>
        <a:p>
          <a:endParaRPr lang="en-US"/>
        </a:p>
      </dgm:t>
    </dgm:pt>
    <dgm:pt modelId="{02485D7E-B5BD-4974-8328-4B2E8FC929EA}">
      <dgm:prSet phldrT="[Text]" custT="1"/>
      <dgm:spPr/>
      <dgm:t>
        <a:bodyPr/>
        <a:lstStyle/>
        <a:p>
          <a:r>
            <a:rPr lang="en-US" sz="2000" b="1" dirty="0" smtClean="0"/>
            <a:t>Phase 4: Recovery</a:t>
          </a:r>
          <a:endParaRPr lang="en-US" sz="1700" b="1" dirty="0"/>
        </a:p>
      </dgm:t>
    </dgm:pt>
    <dgm:pt modelId="{F1EE0659-EFAB-4658-A793-9FA3E54A8815}" type="parTrans" cxnId="{50A16B1D-0986-4E28-9605-5FD1A2576EF2}">
      <dgm:prSet/>
      <dgm:spPr/>
      <dgm:t>
        <a:bodyPr/>
        <a:lstStyle/>
        <a:p>
          <a:endParaRPr lang="en-US"/>
        </a:p>
      </dgm:t>
    </dgm:pt>
    <dgm:pt modelId="{072C180F-F6D8-429F-A397-1AF2CB7FECC7}" type="sibTrans" cxnId="{50A16B1D-0986-4E28-9605-5FD1A2576EF2}">
      <dgm:prSet/>
      <dgm:spPr>
        <a:solidFill>
          <a:srgbClr val="0000FF"/>
        </a:solidFill>
      </dgm:spPr>
      <dgm:t>
        <a:bodyPr/>
        <a:lstStyle/>
        <a:p>
          <a:endParaRPr lang="en-US"/>
        </a:p>
      </dgm:t>
    </dgm:pt>
    <dgm:pt modelId="{4C2D7BAF-C65A-4340-A82B-D44A3AFBF1E6}" type="pres">
      <dgm:prSet presAssocID="{F6E5A8A7-463E-4EB3-845A-AD60293F1BA7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069D24D-E910-4297-BF9B-8194340E0B19}" type="pres">
      <dgm:prSet presAssocID="{8157B01A-D255-4542-AB62-69828D72DC3C}" presName="dummy" presStyleCnt="0"/>
      <dgm:spPr/>
    </dgm:pt>
    <dgm:pt modelId="{D4A152DA-DF86-40A2-8813-C0ED10A7598C}" type="pres">
      <dgm:prSet presAssocID="{8157B01A-D255-4542-AB62-69828D72DC3C}" presName="node" presStyleLbl="revTx" presStyleIdx="0" presStyleCnt="4" custScaleX="161905" custScaleY="86831" custRadScaleRad="115586" custRadScaleInc="1309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87BD936-3688-4587-A044-2CC7967A7A92}" type="pres">
      <dgm:prSet presAssocID="{0B346912-2893-4E53-967F-953605D23F50}" presName="sibTrans" presStyleLbl="node1" presStyleIdx="0" presStyleCnt="4"/>
      <dgm:spPr/>
      <dgm:t>
        <a:bodyPr/>
        <a:lstStyle/>
        <a:p>
          <a:endParaRPr lang="en-US"/>
        </a:p>
      </dgm:t>
    </dgm:pt>
    <dgm:pt modelId="{5ABF7F6B-ECCD-4F01-B9E8-478CA5A69596}" type="pres">
      <dgm:prSet presAssocID="{8AB40DAE-4344-447C-81EB-70F782E792D2}" presName="dummy" presStyleCnt="0"/>
      <dgm:spPr/>
    </dgm:pt>
    <dgm:pt modelId="{CDD3B91D-B254-4384-949C-243B5F11453F}" type="pres">
      <dgm:prSet presAssocID="{8AB40DAE-4344-447C-81EB-70F782E792D2}" presName="node" presStyleLbl="revTx" presStyleIdx="1" presStyleCnt="4" custScaleX="183410" custRadScaleRad="113509" custRadScaleInc="-2914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7FA6443-4DC4-44FC-AEF4-8E7F9C572ABD}" type="pres">
      <dgm:prSet presAssocID="{C7DBAD60-8687-4B5A-89F4-98443BD13DC6}" presName="sibTrans" presStyleLbl="node1" presStyleIdx="1" presStyleCnt="4"/>
      <dgm:spPr/>
      <dgm:t>
        <a:bodyPr/>
        <a:lstStyle/>
        <a:p>
          <a:endParaRPr lang="en-US"/>
        </a:p>
      </dgm:t>
    </dgm:pt>
    <dgm:pt modelId="{5CBCFDAE-3D4A-4BB1-BE1B-791341FA0ACA}" type="pres">
      <dgm:prSet presAssocID="{78C78C10-3203-4C48-BBF6-0670F6C8A89E}" presName="dummy" presStyleCnt="0"/>
      <dgm:spPr/>
    </dgm:pt>
    <dgm:pt modelId="{066C2E13-B0C8-4D63-88A1-0DC7E3991D69}" type="pres">
      <dgm:prSet presAssocID="{78C78C10-3203-4C48-BBF6-0670F6C8A89E}" presName="node" presStyleLbl="revTx" presStyleIdx="2" presStyleCnt="4" custScaleX="12323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DCAA71E-E111-4D83-8925-D7D4011189C5}" type="pres">
      <dgm:prSet presAssocID="{F76CB2D5-27D0-4454-BAD9-BBD6F4124080}" presName="sibTrans" presStyleLbl="node1" presStyleIdx="2" presStyleCnt="4"/>
      <dgm:spPr/>
      <dgm:t>
        <a:bodyPr/>
        <a:lstStyle/>
        <a:p>
          <a:endParaRPr lang="en-US"/>
        </a:p>
      </dgm:t>
    </dgm:pt>
    <dgm:pt modelId="{DFCC310B-47AA-4E15-8610-CEA4BC9120E3}" type="pres">
      <dgm:prSet presAssocID="{02485D7E-B5BD-4974-8328-4B2E8FC929EA}" presName="dummy" presStyleCnt="0"/>
      <dgm:spPr/>
    </dgm:pt>
    <dgm:pt modelId="{9E0A0E8A-3BB8-43CC-96A3-6D1FA55204F1}" type="pres">
      <dgm:prSet presAssocID="{02485D7E-B5BD-4974-8328-4B2E8FC929EA}" presName="node" presStyleLbl="revTx" presStyleIdx="3" presStyleCnt="4" custScaleX="121098" custRadScaleRad="104854" custRadScaleInc="-1529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95A1E73-2FDD-4B82-8199-4A928815EB55}" type="pres">
      <dgm:prSet presAssocID="{072C180F-F6D8-429F-A397-1AF2CB7FECC7}" presName="sibTrans" presStyleLbl="node1" presStyleIdx="3" presStyleCnt="4"/>
      <dgm:spPr/>
      <dgm:t>
        <a:bodyPr/>
        <a:lstStyle/>
        <a:p>
          <a:endParaRPr lang="en-US"/>
        </a:p>
      </dgm:t>
    </dgm:pt>
  </dgm:ptLst>
  <dgm:cxnLst>
    <dgm:cxn modelId="{D2A140B4-46C0-4195-B4B7-A14EFA7CFE0A}" srcId="{F6E5A8A7-463E-4EB3-845A-AD60293F1BA7}" destId="{78C78C10-3203-4C48-BBF6-0670F6C8A89E}" srcOrd="2" destOrd="0" parTransId="{319BCC9E-46CF-4114-98CE-FE03DDC96536}" sibTransId="{F76CB2D5-27D0-4454-BAD9-BBD6F4124080}"/>
    <dgm:cxn modelId="{6C961792-9C80-4B2A-BDFF-F412ED5F899A}" type="presOf" srcId="{072C180F-F6D8-429F-A397-1AF2CB7FECC7}" destId="{F95A1E73-2FDD-4B82-8199-4A928815EB55}" srcOrd="0" destOrd="0" presId="urn:microsoft.com/office/officeart/2005/8/layout/cycle1"/>
    <dgm:cxn modelId="{DAB3D8E1-1AC6-4DB4-97AF-D1ACB04BAFB0}" type="presOf" srcId="{78C78C10-3203-4C48-BBF6-0670F6C8A89E}" destId="{066C2E13-B0C8-4D63-88A1-0DC7E3991D69}" srcOrd="0" destOrd="0" presId="urn:microsoft.com/office/officeart/2005/8/layout/cycle1"/>
    <dgm:cxn modelId="{6ECED112-B36C-44F3-A02B-CDBF3BB62B04}" srcId="{F6E5A8A7-463E-4EB3-845A-AD60293F1BA7}" destId="{8AB40DAE-4344-447C-81EB-70F782E792D2}" srcOrd="1" destOrd="0" parTransId="{E99EDBD2-0B98-4AD8-A4A9-A9DAC8BB19C5}" sibTransId="{C7DBAD60-8687-4B5A-89F4-98443BD13DC6}"/>
    <dgm:cxn modelId="{560A4CD8-E499-4917-9B0B-B8B587F04583}" type="presOf" srcId="{02485D7E-B5BD-4974-8328-4B2E8FC929EA}" destId="{9E0A0E8A-3BB8-43CC-96A3-6D1FA55204F1}" srcOrd="0" destOrd="0" presId="urn:microsoft.com/office/officeart/2005/8/layout/cycle1"/>
    <dgm:cxn modelId="{EE45515C-D3C5-4EA4-A93D-B859EEF81D7F}" type="presOf" srcId="{8AB40DAE-4344-447C-81EB-70F782E792D2}" destId="{CDD3B91D-B254-4384-949C-243B5F11453F}" srcOrd="0" destOrd="0" presId="urn:microsoft.com/office/officeart/2005/8/layout/cycle1"/>
    <dgm:cxn modelId="{6D9A2B96-9720-4DED-8294-D62761F41D0F}" type="presOf" srcId="{C7DBAD60-8687-4B5A-89F4-98443BD13DC6}" destId="{E7FA6443-4DC4-44FC-AEF4-8E7F9C572ABD}" srcOrd="0" destOrd="0" presId="urn:microsoft.com/office/officeart/2005/8/layout/cycle1"/>
    <dgm:cxn modelId="{319DE11E-4D80-406E-99F3-6252DEE5D33B}" type="presOf" srcId="{F76CB2D5-27D0-4454-BAD9-BBD6F4124080}" destId="{CDCAA71E-E111-4D83-8925-D7D4011189C5}" srcOrd="0" destOrd="0" presId="urn:microsoft.com/office/officeart/2005/8/layout/cycle1"/>
    <dgm:cxn modelId="{D349C5BC-801A-44B9-9AA9-599E9397D06C}" srcId="{F6E5A8A7-463E-4EB3-845A-AD60293F1BA7}" destId="{8157B01A-D255-4542-AB62-69828D72DC3C}" srcOrd="0" destOrd="0" parTransId="{C3254077-480C-400B-AF49-DD697FDB90F0}" sibTransId="{0B346912-2893-4E53-967F-953605D23F50}"/>
    <dgm:cxn modelId="{DA0E19DF-E0A1-4501-82D3-8BE8A09E6CE6}" type="presOf" srcId="{8157B01A-D255-4542-AB62-69828D72DC3C}" destId="{D4A152DA-DF86-40A2-8813-C0ED10A7598C}" srcOrd="0" destOrd="0" presId="urn:microsoft.com/office/officeart/2005/8/layout/cycle1"/>
    <dgm:cxn modelId="{50A16B1D-0986-4E28-9605-5FD1A2576EF2}" srcId="{F6E5A8A7-463E-4EB3-845A-AD60293F1BA7}" destId="{02485D7E-B5BD-4974-8328-4B2E8FC929EA}" srcOrd="3" destOrd="0" parTransId="{F1EE0659-EFAB-4658-A793-9FA3E54A8815}" sibTransId="{072C180F-F6D8-429F-A397-1AF2CB7FECC7}"/>
    <dgm:cxn modelId="{C6FD0A4B-2B64-43DE-8FF2-4BE95EF6CDAB}" type="presOf" srcId="{F6E5A8A7-463E-4EB3-845A-AD60293F1BA7}" destId="{4C2D7BAF-C65A-4340-A82B-D44A3AFBF1E6}" srcOrd="0" destOrd="0" presId="urn:microsoft.com/office/officeart/2005/8/layout/cycle1"/>
    <dgm:cxn modelId="{0EDB7547-B827-4994-8CA2-9E3EC45ABA9D}" type="presOf" srcId="{0B346912-2893-4E53-967F-953605D23F50}" destId="{487BD936-3688-4587-A044-2CC7967A7A92}" srcOrd="0" destOrd="0" presId="urn:microsoft.com/office/officeart/2005/8/layout/cycle1"/>
    <dgm:cxn modelId="{4A5D8BE6-8B51-4895-8D4D-591EF4D1B8D2}" type="presParOf" srcId="{4C2D7BAF-C65A-4340-A82B-D44A3AFBF1E6}" destId="{1069D24D-E910-4297-BF9B-8194340E0B19}" srcOrd="0" destOrd="0" presId="urn:microsoft.com/office/officeart/2005/8/layout/cycle1"/>
    <dgm:cxn modelId="{CE47C7B9-A099-4718-B985-8888EF4E631A}" type="presParOf" srcId="{4C2D7BAF-C65A-4340-A82B-D44A3AFBF1E6}" destId="{D4A152DA-DF86-40A2-8813-C0ED10A7598C}" srcOrd="1" destOrd="0" presId="urn:microsoft.com/office/officeart/2005/8/layout/cycle1"/>
    <dgm:cxn modelId="{B5465917-6AF3-4CA1-B227-5ACF9CC9EB61}" type="presParOf" srcId="{4C2D7BAF-C65A-4340-A82B-D44A3AFBF1E6}" destId="{487BD936-3688-4587-A044-2CC7967A7A92}" srcOrd="2" destOrd="0" presId="urn:microsoft.com/office/officeart/2005/8/layout/cycle1"/>
    <dgm:cxn modelId="{AF71DD41-84A8-4749-8B3C-E395B0CDB9E8}" type="presParOf" srcId="{4C2D7BAF-C65A-4340-A82B-D44A3AFBF1E6}" destId="{5ABF7F6B-ECCD-4F01-B9E8-478CA5A69596}" srcOrd="3" destOrd="0" presId="urn:microsoft.com/office/officeart/2005/8/layout/cycle1"/>
    <dgm:cxn modelId="{F4A0658B-7D68-46E6-9572-6D8C15EC6274}" type="presParOf" srcId="{4C2D7BAF-C65A-4340-A82B-D44A3AFBF1E6}" destId="{CDD3B91D-B254-4384-949C-243B5F11453F}" srcOrd="4" destOrd="0" presId="urn:microsoft.com/office/officeart/2005/8/layout/cycle1"/>
    <dgm:cxn modelId="{87BAF011-F669-4BDC-A4DB-41C2AE07322A}" type="presParOf" srcId="{4C2D7BAF-C65A-4340-A82B-D44A3AFBF1E6}" destId="{E7FA6443-4DC4-44FC-AEF4-8E7F9C572ABD}" srcOrd="5" destOrd="0" presId="urn:microsoft.com/office/officeart/2005/8/layout/cycle1"/>
    <dgm:cxn modelId="{08F48803-541A-453E-8CF9-893DE51BA34F}" type="presParOf" srcId="{4C2D7BAF-C65A-4340-A82B-D44A3AFBF1E6}" destId="{5CBCFDAE-3D4A-4BB1-BE1B-791341FA0ACA}" srcOrd="6" destOrd="0" presId="urn:microsoft.com/office/officeart/2005/8/layout/cycle1"/>
    <dgm:cxn modelId="{E7A34720-3B83-4DE5-9A94-0499DFBE9C3E}" type="presParOf" srcId="{4C2D7BAF-C65A-4340-A82B-D44A3AFBF1E6}" destId="{066C2E13-B0C8-4D63-88A1-0DC7E3991D69}" srcOrd="7" destOrd="0" presId="urn:microsoft.com/office/officeart/2005/8/layout/cycle1"/>
    <dgm:cxn modelId="{1051CEB5-03F6-467E-9778-02E1228AB0F7}" type="presParOf" srcId="{4C2D7BAF-C65A-4340-A82B-D44A3AFBF1E6}" destId="{CDCAA71E-E111-4D83-8925-D7D4011189C5}" srcOrd="8" destOrd="0" presId="urn:microsoft.com/office/officeart/2005/8/layout/cycle1"/>
    <dgm:cxn modelId="{D88115F1-6AF6-495C-9CDE-219BBF8D1867}" type="presParOf" srcId="{4C2D7BAF-C65A-4340-A82B-D44A3AFBF1E6}" destId="{DFCC310B-47AA-4E15-8610-CEA4BC9120E3}" srcOrd="9" destOrd="0" presId="urn:microsoft.com/office/officeart/2005/8/layout/cycle1"/>
    <dgm:cxn modelId="{7B952646-9085-42A6-B92C-2C24271E34CD}" type="presParOf" srcId="{4C2D7BAF-C65A-4340-A82B-D44A3AFBF1E6}" destId="{9E0A0E8A-3BB8-43CC-96A3-6D1FA55204F1}" srcOrd="10" destOrd="0" presId="urn:microsoft.com/office/officeart/2005/8/layout/cycle1"/>
    <dgm:cxn modelId="{D0C58ECA-5CF8-4065-9883-B44916D0802F}" type="presParOf" srcId="{4C2D7BAF-C65A-4340-A82B-D44A3AFBF1E6}" destId="{F95A1E73-2FDD-4B82-8199-4A928815EB55}" srcOrd="11" destOrd="0" presId="urn:microsoft.com/office/officeart/2005/8/layout/cycle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A152DA-DF86-40A2-8813-C0ED10A7598C}">
      <dsp:nvSpPr>
        <dsp:cNvPr id="0" name=""/>
        <dsp:cNvSpPr/>
      </dsp:nvSpPr>
      <dsp:spPr>
        <a:xfrm>
          <a:off x="2819401" y="57149"/>
          <a:ext cx="1405279" cy="75366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b="1" kern="1200" dirty="0" smtClean="0"/>
            <a:t>Phase 1: Prevention</a:t>
          </a:r>
          <a:endParaRPr lang="en-US" sz="2000" b="1" kern="1200" dirty="0"/>
        </a:p>
      </dsp:txBody>
      <dsp:txXfrm>
        <a:off x="2819401" y="57149"/>
        <a:ext cx="1405279" cy="753663"/>
      </dsp:txXfrm>
    </dsp:sp>
    <dsp:sp modelId="{487BD936-3688-4587-A044-2CC7967A7A92}">
      <dsp:nvSpPr>
        <dsp:cNvPr id="0" name=""/>
        <dsp:cNvSpPr/>
      </dsp:nvSpPr>
      <dsp:spPr>
        <a:xfrm>
          <a:off x="1543208" y="-43492"/>
          <a:ext cx="2453997" cy="2453997"/>
        </a:xfrm>
        <a:prstGeom prst="circularArrow">
          <a:avLst>
            <a:gd name="adj1" fmla="val 6897"/>
            <a:gd name="adj2" fmla="val 464954"/>
            <a:gd name="adj3" fmla="val 570509"/>
            <a:gd name="adj4" fmla="val 20344634"/>
            <a:gd name="adj5" fmla="val 8047"/>
          </a:avLst>
        </a:prstGeom>
        <a:solidFill>
          <a:srgbClr val="0000F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D3B91D-B254-4384-949C-243B5F11453F}">
      <dsp:nvSpPr>
        <dsp:cNvPr id="0" name=""/>
        <dsp:cNvSpPr/>
      </dsp:nvSpPr>
      <dsp:spPr>
        <a:xfrm>
          <a:off x="2771920" y="1493123"/>
          <a:ext cx="1591935" cy="86796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2000" b="1" kern="1200" dirty="0" smtClean="0"/>
            <a:t>Phase 2: Preparedness</a:t>
          </a:r>
          <a:endParaRPr lang="en-US" sz="2000" b="1" kern="1200" dirty="0"/>
        </a:p>
      </dsp:txBody>
      <dsp:txXfrm>
        <a:off x="2771920" y="1493123"/>
        <a:ext cx="1591935" cy="867965"/>
      </dsp:txXfrm>
    </dsp:sp>
    <dsp:sp modelId="{E7FA6443-4DC4-44FC-AEF4-8E7F9C572ABD}">
      <dsp:nvSpPr>
        <dsp:cNvPr id="0" name=""/>
        <dsp:cNvSpPr/>
      </dsp:nvSpPr>
      <dsp:spPr>
        <a:xfrm>
          <a:off x="1655398" y="92865"/>
          <a:ext cx="2453997" cy="2453997"/>
        </a:xfrm>
        <a:prstGeom prst="circularArrow">
          <a:avLst>
            <a:gd name="adj1" fmla="val 6897"/>
            <a:gd name="adj2" fmla="val 464954"/>
            <a:gd name="adj3" fmla="val 6551777"/>
            <a:gd name="adj4" fmla="val 5166028"/>
            <a:gd name="adj5" fmla="val 8047"/>
          </a:avLst>
        </a:prstGeom>
        <a:solidFill>
          <a:srgbClr val="0000F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66C2E13-B0C8-4D63-88A1-0DC7E3991D69}">
      <dsp:nvSpPr>
        <dsp:cNvPr id="0" name=""/>
        <dsp:cNvSpPr/>
      </dsp:nvSpPr>
      <dsp:spPr>
        <a:xfrm>
          <a:off x="1339841" y="1530509"/>
          <a:ext cx="1069637" cy="86796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b="1" kern="1200" dirty="0" smtClean="0"/>
            <a:t>Phase 3: Response</a:t>
          </a:r>
          <a:endParaRPr lang="en-US" sz="2400" b="1" kern="1200" dirty="0"/>
        </a:p>
      </dsp:txBody>
      <dsp:txXfrm>
        <a:off x="1339841" y="1530509"/>
        <a:ext cx="1069637" cy="867965"/>
      </dsp:txXfrm>
    </dsp:sp>
    <dsp:sp modelId="{CDCAA71E-E111-4D83-8925-D7D4011189C5}">
      <dsp:nvSpPr>
        <dsp:cNvPr id="0" name=""/>
        <dsp:cNvSpPr/>
      </dsp:nvSpPr>
      <dsp:spPr>
        <a:xfrm>
          <a:off x="1353610" y="-90582"/>
          <a:ext cx="2453997" cy="2453997"/>
        </a:xfrm>
        <a:prstGeom prst="circularArrow">
          <a:avLst>
            <a:gd name="adj1" fmla="val 6897"/>
            <a:gd name="adj2" fmla="val 464954"/>
            <a:gd name="adj3" fmla="val 10948669"/>
            <a:gd name="adj4" fmla="val 9468842"/>
            <a:gd name="adj5" fmla="val 8047"/>
          </a:avLst>
        </a:prstGeom>
        <a:solidFill>
          <a:srgbClr val="0000F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E0A0E8A-3BB8-43CC-96A3-6D1FA55204F1}">
      <dsp:nvSpPr>
        <dsp:cNvPr id="0" name=""/>
        <dsp:cNvSpPr/>
      </dsp:nvSpPr>
      <dsp:spPr>
        <a:xfrm>
          <a:off x="1253861" y="83152"/>
          <a:ext cx="1051089" cy="86796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b="1" kern="1200" dirty="0" smtClean="0"/>
            <a:t>Phase 4: Recovery</a:t>
          </a:r>
          <a:endParaRPr lang="en-US" sz="1700" b="1" kern="1200" dirty="0"/>
        </a:p>
      </dsp:txBody>
      <dsp:txXfrm>
        <a:off x="1253861" y="83152"/>
        <a:ext cx="1051089" cy="867965"/>
      </dsp:txXfrm>
    </dsp:sp>
    <dsp:sp modelId="{F95A1E73-2FDD-4B82-8199-4A928815EB55}">
      <dsp:nvSpPr>
        <dsp:cNvPr id="0" name=""/>
        <dsp:cNvSpPr/>
      </dsp:nvSpPr>
      <dsp:spPr>
        <a:xfrm>
          <a:off x="1573038" y="-131891"/>
          <a:ext cx="2453997" cy="2453997"/>
        </a:xfrm>
        <a:prstGeom prst="circularArrow">
          <a:avLst>
            <a:gd name="adj1" fmla="val 6897"/>
            <a:gd name="adj2" fmla="val 464954"/>
            <a:gd name="adj3" fmla="val 16093976"/>
            <a:gd name="adj4" fmla="val 14500843"/>
            <a:gd name="adj5" fmla="val 8047"/>
          </a:avLst>
        </a:prstGeom>
        <a:solidFill>
          <a:srgbClr val="0000F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1">
  <dgm:title val=""/>
  <dgm:desc val=""/>
  <dgm:catLst>
    <dgm:cat type="cycle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alg type="cycle">
          <dgm:param type="stAng" val="0"/>
          <dgm:param type="spanAng" val="360"/>
        </dgm:alg>
      </dgm:if>
      <dgm:else name="Name2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hoose name="Name3">
      <dgm:if name="Name4" func="var" arg="dir" op="equ" val="norm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if>
      <dgm:else name="Name5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 fact="-1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else>
    </dgm:choose>
    <dgm:ruleLst>
      <dgm:rule type="diam" val="INF" fact="NaN" max="NaN"/>
    </dgm:ruleLst>
    <dgm:forEach name="nodesForEach" axis="ch" ptType="node">
      <dgm:choose name="Name6">
        <dgm:if name="Name7" axis="par ch" ptType="doc node" func="cnt" op="gt" val="1">
          <dgm:layoutNode name="dummy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</dgm:if>
        <dgm:else name="Name8"/>
      </dgm:choose>
      <dgm:layoutNode name="node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Name11" axis="followSib" ptType="sibTrans" hideLastTrans="0" cnt="1">
            <dgm:layoutNode name="sibTrans" styleLbl="node1">
              <dgm:alg type="conn"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begPad"/>
                <dgm:constr type="endPad"/>
              </dgm:constrLst>
              <dgm:ruleLst/>
            </dgm:layoutNode>
          </dgm:forEach>
        </dgm:if>
        <dgm:else name="Name12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38FFCB2E2B349618AA3A519B50B0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7B1D2-4F6F-4614-8114-5A427B8DCACF}"/>
      </w:docPartPr>
      <w:docPartBody>
        <w:p w:rsidR="002A6660" w:rsidRDefault="004E21FF" w:rsidP="004E21FF">
          <w:pPr>
            <w:pStyle w:val="A38FFCB2E2B349618AA3A519B50B099C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42AEA"/>
    <w:rsid w:val="00182BE3"/>
    <w:rsid w:val="00187056"/>
    <w:rsid w:val="001917CC"/>
    <w:rsid w:val="00273741"/>
    <w:rsid w:val="002A6660"/>
    <w:rsid w:val="002C7C92"/>
    <w:rsid w:val="00305DB2"/>
    <w:rsid w:val="00365167"/>
    <w:rsid w:val="004A219D"/>
    <w:rsid w:val="004E21FF"/>
    <w:rsid w:val="00534BE0"/>
    <w:rsid w:val="00605B37"/>
    <w:rsid w:val="006922F2"/>
    <w:rsid w:val="006D1851"/>
    <w:rsid w:val="006D5CAC"/>
    <w:rsid w:val="006E5593"/>
    <w:rsid w:val="006E75D4"/>
    <w:rsid w:val="007934F0"/>
    <w:rsid w:val="007F7C1D"/>
    <w:rsid w:val="00847A22"/>
    <w:rsid w:val="00907340"/>
    <w:rsid w:val="009108B4"/>
    <w:rsid w:val="00945E6D"/>
    <w:rsid w:val="00950D2F"/>
    <w:rsid w:val="00A101E4"/>
    <w:rsid w:val="00A57331"/>
    <w:rsid w:val="00A92F25"/>
    <w:rsid w:val="00B90DA0"/>
    <w:rsid w:val="00BA6512"/>
    <w:rsid w:val="00C572C3"/>
    <w:rsid w:val="00C72014"/>
    <w:rsid w:val="00C72F8E"/>
    <w:rsid w:val="00CF1B1D"/>
    <w:rsid w:val="00D07212"/>
    <w:rsid w:val="00D55EAA"/>
    <w:rsid w:val="00E14394"/>
    <w:rsid w:val="00E3646B"/>
    <w:rsid w:val="00EE77B1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4E21FF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8541293CB314464CAB49F3CCCC191070">
    <w:name w:val="8541293CB314464CAB49F3CCCC191070"/>
    <w:rsid w:val="00CF1B1D"/>
  </w:style>
  <w:style w:type="paragraph" w:customStyle="1" w:styleId="A75EDE0D2031457D8F1D3177813E842E">
    <w:name w:val="A75EDE0D2031457D8F1D3177813E842E"/>
    <w:rsid w:val="00D55EAA"/>
  </w:style>
  <w:style w:type="paragraph" w:customStyle="1" w:styleId="AC35490AB29C40A4A004F57598E66E02">
    <w:name w:val="AC35490AB29C40A4A004F57598E66E02"/>
    <w:rsid w:val="00D55EAA"/>
  </w:style>
  <w:style w:type="paragraph" w:customStyle="1" w:styleId="9C57ABF812E54BDAA98B0F89376FA7FA">
    <w:name w:val="9C57ABF812E54BDAA98B0F89376FA7FA"/>
    <w:rsid w:val="004E21FF"/>
  </w:style>
  <w:style w:type="paragraph" w:customStyle="1" w:styleId="B36CE186AE0E4A2F8C9FD9D91EDEAADD">
    <w:name w:val="B36CE186AE0E4A2F8C9FD9D91EDEAADD"/>
    <w:rsid w:val="004E21FF"/>
  </w:style>
  <w:style w:type="paragraph" w:customStyle="1" w:styleId="A38FFCB2E2B349618AA3A519B50B099C">
    <w:name w:val="A38FFCB2E2B349618AA3A519B50B099C"/>
    <w:rsid w:val="004E21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4174446-1043-46E8-AA24-715188496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66B437-8DE8-465D-9B90-5CC38528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11: Policies and Procedures</vt:lpstr>
    </vt:vector>
  </TitlesOfParts>
  <Company>Office of Antiterrorism Assistance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11: Policies and Procedures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2016-11-16T15:42:00Z</dcterms:created>
  <dcterms:modified xsi:type="dcterms:W3CDTF">2016-11-16T15:42:00Z</dcterms:modified>
  <cp:category>Reference 11.1: Critical Incident Management Process Phases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