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3058AC78" w:rsidR="00EE7DFC" w:rsidRPr="00CD0A5B" w:rsidRDefault="000D4EEC" w:rsidP="00E80349">
      <w:pPr>
        <w:pStyle w:val="ATAModuleTitle"/>
        <w:rPr>
          <w:b w:val="0"/>
          <w:bCs/>
          <w:sz w:val="29"/>
          <w:szCs w:val="29"/>
        </w:rPr>
      </w:pPr>
      <w:bookmarkStart w:id="0" w:name="_GoBack"/>
      <w:r>
        <w:rPr>
          <w:noProof/>
        </w:rPr>
        <w:drawing>
          <wp:anchor distT="0" distB="0" distL="114300" distR="114300" simplePos="0" relativeHeight="251658240" behindDoc="0" locked="0" layoutInCell="1" allowOverlap="1" wp14:anchorId="37E86864" wp14:editId="54DD345C">
            <wp:simplePos x="0" y="0"/>
            <wp:positionH relativeFrom="column">
              <wp:posOffset>5680710</wp:posOffset>
            </wp:positionH>
            <wp:positionV relativeFrom="paragraph">
              <wp:posOffset>-17780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76644A" w:rsidRPr="0076644A">
        <w:rPr>
          <w:b w:val="0"/>
          <w:bCs/>
          <w:sz w:val="29"/>
          <w:szCs w:val="29"/>
          <w:cs/>
          <w:lang w:bidi="ar-SA"/>
        </w:rPr>
        <w:t>الكتيب</w:t>
      </w:r>
      <w:r w:rsidR="0076644A" w:rsidRPr="0076644A">
        <w:rPr>
          <w:bCs/>
          <w:sz w:val="29"/>
          <w:szCs w:val="29"/>
        </w:rPr>
        <w:t xml:space="preserve"> </w:t>
      </w:r>
      <w:r w:rsidR="006B2C72" w:rsidRPr="00CD0A5B">
        <w:rPr>
          <w:b w:val="0"/>
          <w:bCs/>
          <w:sz w:val="29"/>
          <w:szCs w:val="29"/>
        </w:rPr>
        <w:t>8.1: استهداف البنية الأساسية الحرجة</w:t>
      </w:r>
    </w:p>
    <w:tbl>
      <w:tblPr>
        <w:bidiVisual/>
        <w:tblW w:w="5000" w:type="pct"/>
        <w:tblCellMar>
          <w:left w:w="0" w:type="dxa"/>
          <w:right w:w="0" w:type="dxa"/>
        </w:tblCellMar>
        <w:tblLook w:val="04A0" w:firstRow="1" w:lastRow="0" w:firstColumn="1" w:lastColumn="0" w:noHBand="0" w:noVBand="1"/>
      </w:tblPr>
      <w:tblGrid>
        <w:gridCol w:w="2430"/>
        <w:gridCol w:w="6930"/>
      </w:tblGrid>
      <w:tr w:rsidR="002B3D5A" w:rsidRPr="00CD0A5B" w14:paraId="7F9379D8" w14:textId="77777777" w:rsidTr="00CD0A5B">
        <w:trPr>
          <w:cantSplit/>
        </w:trPr>
        <w:tc>
          <w:tcPr>
            <w:tcW w:w="1298" w:type="pct"/>
            <w:hideMark/>
          </w:tcPr>
          <w:p w14:paraId="7F9379D6" w14:textId="5630FCA2" w:rsidR="002B3D5A" w:rsidRPr="00CD0A5B" w:rsidRDefault="002B3D5A">
            <w:pPr>
              <w:pStyle w:val="ATABody"/>
              <w:rPr>
                <w:b/>
                <w:sz w:val="29"/>
                <w:szCs w:val="29"/>
              </w:rPr>
            </w:pPr>
            <w:r w:rsidRPr="00CD0A5B">
              <w:rPr>
                <w:b/>
                <w:bCs/>
                <w:sz w:val="29"/>
                <w:szCs w:val="29"/>
              </w:rPr>
              <w:t>الغرض:</w:t>
            </w:r>
          </w:p>
        </w:tc>
        <w:tc>
          <w:tcPr>
            <w:tcW w:w="3702" w:type="pct"/>
            <w:hideMark/>
          </w:tcPr>
          <w:p w14:paraId="7F9379D7" w14:textId="3A3FBADA" w:rsidR="002B3D5A" w:rsidRPr="00CD0A5B" w:rsidRDefault="003F574D" w:rsidP="005114DC">
            <w:pPr>
              <w:pStyle w:val="ATABody"/>
              <w:rPr>
                <w:sz w:val="29"/>
                <w:szCs w:val="29"/>
              </w:rPr>
            </w:pPr>
            <w:r w:rsidRPr="00CD0A5B">
              <w:rPr>
                <w:sz w:val="29"/>
                <w:szCs w:val="29"/>
              </w:rPr>
              <w:t>تقديم أوصاف وعواقب الهجوم على كل فئة من فئات البنية الأساسية الحرجة</w:t>
            </w:r>
          </w:p>
        </w:tc>
      </w:tr>
    </w:tbl>
    <w:p w14:paraId="7F9379D9" w14:textId="77777777" w:rsidR="002B3D5A" w:rsidRPr="00CD0A5B" w:rsidRDefault="002B3D5A" w:rsidP="002B3D5A">
      <w:pPr>
        <w:rPr>
          <w:rFonts w:ascii="Cambria" w:hAnsi="Cambria" w:cs="Arial"/>
          <w:sz w:val="29"/>
          <w:szCs w:val="29"/>
        </w:rPr>
      </w:pPr>
    </w:p>
    <w:tbl>
      <w:tblPr>
        <w:tblStyle w:val="TableGrid"/>
        <w:bidiVisual/>
        <w:tblW w:w="0" w:type="auto"/>
        <w:tblLook w:val="04A0" w:firstRow="1" w:lastRow="0" w:firstColumn="1" w:lastColumn="0" w:noHBand="0" w:noVBand="1"/>
      </w:tblPr>
      <w:tblGrid>
        <w:gridCol w:w="2718"/>
        <w:gridCol w:w="3429"/>
        <w:gridCol w:w="3429"/>
      </w:tblGrid>
      <w:tr w:rsidR="0011012D" w:rsidRPr="00CD0A5B" w14:paraId="1D679C35" w14:textId="77777777" w:rsidTr="0011012D">
        <w:trPr>
          <w:tblHeader/>
        </w:trPr>
        <w:tc>
          <w:tcPr>
            <w:tcW w:w="2718" w:type="dxa"/>
            <w:shd w:val="clear" w:color="auto" w:fill="D9D9D9" w:themeFill="background1" w:themeFillShade="D9"/>
          </w:tcPr>
          <w:p w14:paraId="2596502C" w14:textId="68DB3EE7" w:rsidR="0011012D" w:rsidRPr="00CD0A5B" w:rsidRDefault="0011012D" w:rsidP="00F837BC">
            <w:pPr>
              <w:pStyle w:val="ATATableHeading"/>
              <w:rPr>
                <w:b/>
                <w:sz w:val="29"/>
                <w:szCs w:val="29"/>
              </w:rPr>
            </w:pPr>
            <w:r w:rsidRPr="00CD0A5B">
              <w:rPr>
                <w:b/>
                <w:bCs/>
                <w:sz w:val="29"/>
                <w:szCs w:val="29"/>
              </w:rPr>
              <w:t>البنية الأساسية الحرجة</w:t>
            </w:r>
          </w:p>
        </w:tc>
        <w:tc>
          <w:tcPr>
            <w:tcW w:w="3429" w:type="dxa"/>
            <w:shd w:val="clear" w:color="auto" w:fill="D9D9D9" w:themeFill="background1" w:themeFillShade="D9"/>
          </w:tcPr>
          <w:p w14:paraId="128E6EDF" w14:textId="7FA9A003" w:rsidR="0011012D" w:rsidRPr="00CD0A5B" w:rsidRDefault="0011012D" w:rsidP="00F837BC">
            <w:pPr>
              <w:pStyle w:val="ATATableHeading"/>
              <w:rPr>
                <w:b/>
                <w:sz w:val="29"/>
                <w:szCs w:val="29"/>
              </w:rPr>
            </w:pPr>
            <w:r w:rsidRPr="00CD0A5B">
              <w:rPr>
                <w:b/>
                <w:bCs/>
                <w:sz w:val="29"/>
                <w:szCs w:val="29"/>
              </w:rPr>
              <w:t>الأوصاف</w:t>
            </w:r>
          </w:p>
        </w:tc>
        <w:tc>
          <w:tcPr>
            <w:tcW w:w="3429" w:type="dxa"/>
            <w:shd w:val="clear" w:color="auto" w:fill="D9D9D9" w:themeFill="background1" w:themeFillShade="D9"/>
          </w:tcPr>
          <w:p w14:paraId="7D400E0A" w14:textId="3684DA84" w:rsidR="0011012D" w:rsidRPr="00CD0A5B" w:rsidRDefault="0011012D" w:rsidP="00F837BC">
            <w:pPr>
              <w:pStyle w:val="ATATableHeading"/>
              <w:rPr>
                <w:b/>
                <w:sz w:val="29"/>
                <w:szCs w:val="29"/>
              </w:rPr>
            </w:pPr>
            <w:r w:rsidRPr="00CD0A5B">
              <w:rPr>
                <w:b/>
                <w:bCs/>
                <w:sz w:val="29"/>
                <w:szCs w:val="29"/>
              </w:rPr>
              <w:t>العواقب</w:t>
            </w:r>
          </w:p>
        </w:tc>
      </w:tr>
      <w:tr w:rsidR="0011012D" w:rsidRPr="00CD0A5B" w14:paraId="38563ED9" w14:textId="77777777" w:rsidTr="0011012D">
        <w:tc>
          <w:tcPr>
            <w:tcW w:w="2718" w:type="dxa"/>
          </w:tcPr>
          <w:p w14:paraId="2AE0596C" w14:textId="21BFCF39" w:rsidR="0011012D" w:rsidRPr="00CD0A5B" w:rsidRDefault="0011012D" w:rsidP="00F837BC">
            <w:pPr>
              <w:pStyle w:val="ATATableBody"/>
              <w:rPr>
                <w:sz w:val="29"/>
                <w:szCs w:val="29"/>
              </w:rPr>
            </w:pPr>
            <w:r w:rsidRPr="00CD0A5B">
              <w:rPr>
                <w:sz w:val="29"/>
                <w:szCs w:val="29"/>
              </w:rPr>
              <w:t>الشؤون المالية والمصرفية</w:t>
            </w:r>
          </w:p>
        </w:tc>
        <w:tc>
          <w:tcPr>
            <w:tcW w:w="3429" w:type="dxa"/>
          </w:tcPr>
          <w:p w14:paraId="7BD3589A" w14:textId="76DF427F" w:rsidR="00EC11DD" w:rsidRPr="00CD0A5B" w:rsidRDefault="00926A1B" w:rsidP="00CD0A5B">
            <w:pPr>
              <w:pStyle w:val="ATATableBody"/>
              <w:rPr>
                <w:sz w:val="29"/>
                <w:szCs w:val="29"/>
              </w:rPr>
            </w:pPr>
            <w:r w:rsidRPr="00CD0A5B">
              <w:rPr>
                <w:sz w:val="29"/>
                <w:szCs w:val="29"/>
              </w:rPr>
              <w:t xml:space="preserve">قطاع البنوك والمؤسسات المالية قد ينطوي على نسبة كبيرة من إجمالي الناتج المحلي السنوي للبلاد لذلك فله أهمية حيوية بالنسبة </w:t>
            </w:r>
            <w:r w:rsidR="00941689" w:rsidRPr="00CD0A5B">
              <w:rPr>
                <w:rFonts w:hint="cs"/>
                <w:sz w:val="29"/>
                <w:szCs w:val="29"/>
              </w:rPr>
              <w:t>للاقتصاد</w:t>
            </w:r>
            <w:r w:rsidRPr="00CD0A5B">
              <w:rPr>
                <w:sz w:val="29"/>
                <w:szCs w:val="29"/>
              </w:rPr>
              <w:t xml:space="preserve"> العالمي.</w:t>
            </w:r>
          </w:p>
        </w:tc>
        <w:tc>
          <w:tcPr>
            <w:tcW w:w="3429" w:type="dxa"/>
          </w:tcPr>
          <w:p w14:paraId="75FAFA03" w14:textId="680322A7" w:rsidR="0011012D" w:rsidRPr="00CD0A5B" w:rsidRDefault="00926A1B" w:rsidP="00D2141F">
            <w:pPr>
              <w:pStyle w:val="ATATableBody"/>
              <w:rPr>
                <w:sz w:val="29"/>
                <w:szCs w:val="29"/>
              </w:rPr>
            </w:pPr>
            <w:r w:rsidRPr="00CD0A5B">
              <w:rPr>
                <w:sz w:val="29"/>
                <w:szCs w:val="29"/>
              </w:rPr>
              <w:t>قد يتعرض لهجمات مباشرة مع تصريحات علنية للمنظمات الإرهابية (تعلن مسؤوليتها عن الهجمات)، حيث أن هذا القطاع له أهمية عليا وقيمة رمزية فائقة.</w:t>
            </w:r>
          </w:p>
        </w:tc>
      </w:tr>
      <w:tr w:rsidR="0011012D" w:rsidRPr="00CD0A5B" w14:paraId="74C80465" w14:textId="77777777" w:rsidTr="0011012D">
        <w:tc>
          <w:tcPr>
            <w:tcW w:w="2718" w:type="dxa"/>
          </w:tcPr>
          <w:p w14:paraId="5FB5EB1D" w14:textId="2649483D" w:rsidR="0011012D" w:rsidRPr="00CD0A5B" w:rsidRDefault="005A1561" w:rsidP="00F837BC">
            <w:pPr>
              <w:pStyle w:val="ATATableBody"/>
              <w:rPr>
                <w:sz w:val="29"/>
                <w:szCs w:val="29"/>
              </w:rPr>
            </w:pPr>
            <w:r w:rsidRPr="00CD0A5B">
              <w:rPr>
                <w:sz w:val="29"/>
                <w:szCs w:val="29"/>
              </w:rPr>
              <w:t>القطاع الكيميائي</w:t>
            </w:r>
          </w:p>
        </w:tc>
        <w:tc>
          <w:tcPr>
            <w:tcW w:w="3429" w:type="dxa"/>
          </w:tcPr>
          <w:p w14:paraId="6109A108" w14:textId="6E06EA36" w:rsidR="00EC11DD" w:rsidRPr="00CD0A5B" w:rsidRDefault="00AD2FE1" w:rsidP="00CD0A5B">
            <w:pPr>
              <w:pStyle w:val="ATATableBody"/>
              <w:rPr>
                <w:sz w:val="29"/>
                <w:szCs w:val="29"/>
              </w:rPr>
            </w:pPr>
            <w:r w:rsidRPr="00CD0A5B">
              <w:rPr>
                <w:sz w:val="29"/>
                <w:szCs w:val="29"/>
              </w:rPr>
              <w:t xml:space="preserve">القطاع الكيميائي هو من صميم مكونات </w:t>
            </w:r>
            <w:r w:rsidR="00941689" w:rsidRPr="00CD0A5B">
              <w:rPr>
                <w:rFonts w:hint="cs"/>
                <w:sz w:val="29"/>
                <w:szCs w:val="29"/>
              </w:rPr>
              <w:t>الاقتصاد</w:t>
            </w:r>
            <w:r w:rsidRPr="00CD0A5B">
              <w:rPr>
                <w:sz w:val="29"/>
                <w:szCs w:val="29"/>
              </w:rPr>
              <w:t xml:space="preserve"> الوطني، ويقوم بتحويل العديد من المواد الخام إلى مختلف المنتجات ذات الأهمية الحرجة للصحة العامة وسلامة المواطنين والأمن </w:t>
            </w:r>
            <w:r w:rsidR="00941689" w:rsidRPr="00CD0A5B">
              <w:rPr>
                <w:rFonts w:hint="cs"/>
                <w:sz w:val="29"/>
                <w:szCs w:val="29"/>
              </w:rPr>
              <w:t>والاقتصاد</w:t>
            </w:r>
            <w:r w:rsidRPr="00CD0A5B">
              <w:rPr>
                <w:sz w:val="29"/>
                <w:szCs w:val="29"/>
              </w:rPr>
              <w:t xml:space="preserve"> القومي.</w:t>
            </w:r>
          </w:p>
        </w:tc>
        <w:tc>
          <w:tcPr>
            <w:tcW w:w="3429" w:type="dxa"/>
          </w:tcPr>
          <w:p w14:paraId="4973A684" w14:textId="24226851" w:rsidR="0011012D" w:rsidRPr="00CD0A5B" w:rsidRDefault="00926A1B" w:rsidP="00F837BC">
            <w:pPr>
              <w:pStyle w:val="ATATableBody"/>
              <w:rPr>
                <w:sz w:val="29"/>
                <w:szCs w:val="29"/>
              </w:rPr>
            </w:pPr>
            <w:r w:rsidRPr="00CD0A5B">
              <w:rPr>
                <w:sz w:val="29"/>
                <w:szCs w:val="29"/>
              </w:rPr>
              <w:t>ونظراً لحجمة وللمخاطر الكامنة في التعامل مع العديد من المواد الكيميائية، فقد يعتبر قطاع الصناعات الكيماوية من الأهداف الجذابة للهجمات.</w:t>
            </w:r>
          </w:p>
        </w:tc>
      </w:tr>
      <w:tr w:rsidR="0011012D" w:rsidRPr="00CD0A5B" w14:paraId="5CF784CB" w14:textId="77777777" w:rsidTr="0011012D">
        <w:tc>
          <w:tcPr>
            <w:tcW w:w="2718" w:type="dxa"/>
          </w:tcPr>
          <w:p w14:paraId="385D8CDB" w14:textId="1644AD20" w:rsidR="0011012D" w:rsidRPr="00CD0A5B" w:rsidRDefault="005A1561" w:rsidP="00F837BC">
            <w:pPr>
              <w:pStyle w:val="ATATableBody"/>
              <w:rPr>
                <w:sz w:val="29"/>
                <w:szCs w:val="29"/>
              </w:rPr>
            </w:pPr>
            <w:r w:rsidRPr="00CD0A5B">
              <w:rPr>
                <w:sz w:val="29"/>
                <w:szCs w:val="29"/>
              </w:rPr>
              <w:t>المرافق التجارية</w:t>
            </w:r>
          </w:p>
        </w:tc>
        <w:tc>
          <w:tcPr>
            <w:tcW w:w="3429" w:type="dxa"/>
          </w:tcPr>
          <w:p w14:paraId="4BE0F0D5" w14:textId="1EDAB60C" w:rsidR="00AD2FE1" w:rsidRPr="00CD0A5B" w:rsidRDefault="00926A1B" w:rsidP="00F837BC">
            <w:pPr>
              <w:pStyle w:val="ATATableBody"/>
              <w:rPr>
                <w:sz w:val="29"/>
                <w:szCs w:val="29"/>
              </w:rPr>
            </w:pPr>
            <w:r w:rsidRPr="00CD0A5B">
              <w:rPr>
                <w:sz w:val="29"/>
                <w:szCs w:val="29"/>
              </w:rPr>
              <w:t xml:space="preserve">هناك نطاق واسع من الأصول يمثل قطاع المرافق التجارية. ويتضمن الفنادق ومباني المكاتب ومراكز المؤتمرات والساحات الرياضية والمنتزهات المتخصصة والمباني السكنية والأسواق التجارية وسائر المواقع التي يتجمع فيها أعداد كبيرة من الأشخاص لممارسة مختلف الأنشطة التجارية وعقد الصفقات الشخصية أو مجرد التمتع بأوقات الراحة والترفيه. </w:t>
            </w:r>
          </w:p>
          <w:p w14:paraId="1FC16327" w14:textId="42FDDB26" w:rsidR="00AD2FE1" w:rsidRPr="00CD0A5B" w:rsidRDefault="00AD2FE1" w:rsidP="00F837BC">
            <w:pPr>
              <w:pStyle w:val="ATATableBody"/>
              <w:rPr>
                <w:sz w:val="29"/>
                <w:szCs w:val="29"/>
              </w:rPr>
            </w:pPr>
            <w:r w:rsidRPr="00CD0A5B">
              <w:rPr>
                <w:sz w:val="29"/>
                <w:szCs w:val="29"/>
              </w:rPr>
              <w:t xml:space="preserve">ولهذا القطاع نفوذ كبير وتأثير بالغ على </w:t>
            </w:r>
            <w:r w:rsidR="00941689" w:rsidRPr="00CD0A5B">
              <w:rPr>
                <w:rFonts w:hint="cs"/>
                <w:sz w:val="29"/>
                <w:szCs w:val="29"/>
              </w:rPr>
              <w:t>الاقتصاد</w:t>
            </w:r>
            <w:r w:rsidRPr="00CD0A5B">
              <w:rPr>
                <w:sz w:val="29"/>
                <w:szCs w:val="29"/>
              </w:rPr>
              <w:t xml:space="preserve"> القومي. </w:t>
            </w:r>
          </w:p>
          <w:p w14:paraId="77F17244" w14:textId="336D18BE" w:rsidR="00EC11DD" w:rsidRPr="00CD0A5B" w:rsidRDefault="00AD2FE1" w:rsidP="00EC11DD">
            <w:pPr>
              <w:pStyle w:val="ATATableBody"/>
              <w:rPr>
                <w:sz w:val="29"/>
                <w:szCs w:val="29"/>
              </w:rPr>
            </w:pPr>
            <w:r w:rsidRPr="00CD0A5B">
              <w:rPr>
                <w:sz w:val="29"/>
                <w:szCs w:val="29"/>
              </w:rPr>
              <w:t>معظم المنشآت في قطاع المرافق التجارية تعمل ضمن نظام "الدخول العام المفتوح" بمعنى حرية الجمهور في التحرك والتجول داخل تلك المرافق بدون موانع أو عوائق واضحة للعيان كرادع أمني.</w:t>
            </w:r>
          </w:p>
        </w:tc>
        <w:tc>
          <w:tcPr>
            <w:tcW w:w="3429" w:type="dxa"/>
          </w:tcPr>
          <w:p w14:paraId="04B98A33" w14:textId="5D5BDAF1" w:rsidR="0011012D" w:rsidRPr="00CD0A5B" w:rsidRDefault="00AD2FE1" w:rsidP="00F837BC">
            <w:pPr>
              <w:pStyle w:val="ATATableBody"/>
              <w:rPr>
                <w:sz w:val="29"/>
                <w:szCs w:val="29"/>
              </w:rPr>
            </w:pPr>
            <w:r w:rsidRPr="00CD0A5B">
              <w:rPr>
                <w:sz w:val="29"/>
                <w:szCs w:val="29"/>
              </w:rPr>
              <w:t>وهناك عادة أعداد غفيرة من الجمهور تحتشد معاً وتدخل بسهولة إلى المرافق التجارية، الأمر الذي يجعلها أهدافاً مرغوبة بالنسبة للهجوم الإرهابي.</w:t>
            </w:r>
          </w:p>
        </w:tc>
      </w:tr>
      <w:tr w:rsidR="0011012D" w:rsidRPr="00CD0A5B" w14:paraId="2B8E75A7" w14:textId="77777777" w:rsidTr="0011012D">
        <w:tc>
          <w:tcPr>
            <w:tcW w:w="2718" w:type="dxa"/>
          </w:tcPr>
          <w:p w14:paraId="1EAE376A" w14:textId="50A6A4CC" w:rsidR="0011012D" w:rsidRPr="00CD0A5B" w:rsidRDefault="0011012D" w:rsidP="00F837BC">
            <w:pPr>
              <w:pStyle w:val="ATATableBody"/>
              <w:rPr>
                <w:sz w:val="29"/>
                <w:szCs w:val="29"/>
              </w:rPr>
            </w:pPr>
            <w:r w:rsidRPr="00CD0A5B">
              <w:rPr>
                <w:sz w:val="29"/>
                <w:szCs w:val="29"/>
              </w:rPr>
              <w:lastRenderedPageBreak/>
              <w:t>الاتصالات</w:t>
            </w:r>
          </w:p>
        </w:tc>
        <w:tc>
          <w:tcPr>
            <w:tcW w:w="3429" w:type="dxa"/>
          </w:tcPr>
          <w:p w14:paraId="50EFE5F7" w14:textId="5CF1092C" w:rsidR="00AD2FE1" w:rsidRPr="00CD0A5B" w:rsidRDefault="00AD2FE1" w:rsidP="00F837BC">
            <w:pPr>
              <w:pStyle w:val="ATATableBody"/>
              <w:rPr>
                <w:sz w:val="29"/>
                <w:szCs w:val="29"/>
              </w:rPr>
            </w:pPr>
            <w:r w:rsidRPr="00CD0A5B">
              <w:rPr>
                <w:sz w:val="29"/>
                <w:szCs w:val="29"/>
              </w:rPr>
              <w:t xml:space="preserve">تعتبر </w:t>
            </w:r>
            <w:r w:rsidR="00941689" w:rsidRPr="00CD0A5B">
              <w:rPr>
                <w:rFonts w:hint="cs"/>
                <w:sz w:val="29"/>
                <w:szCs w:val="29"/>
              </w:rPr>
              <w:t>الاتصالات</w:t>
            </w:r>
            <w:r w:rsidRPr="00CD0A5B">
              <w:rPr>
                <w:sz w:val="29"/>
                <w:szCs w:val="29"/>
              </w:rPr>
              <w:t xml:space="preserve"> كجز لا يتجزأ من الصحة العامة والسلامة </w:t>
            </w:r>
            <w:r w:rsidR="00941689" w:rsidRPr="00CD0A5B">
              <w:rPr>
                <w:rFonts w:hint="cs"/>
                <w:sz w:val="29"/>
                <w:szCs w:val="29"/>
              </w:rPr>
              <w:t>والاقتصاد</w:t>
            </w:r>
            <w:r w:rsidRPr="00CD0A5B">
              <w:rPr>
                <w:sz w:val="29"/>
                <w:szCs w:val="29"/>
              </w:rPr>
              <w:t xml:space="preserve"> الوطني وثقة الجماهير. </w:t>
            </w:r>
          </w:p>
          <w:p w14:paraId="1C90A4EB" w14:textId="7F529727" w:rsidR="0011012D" w:rsidRPr="00CD0A5B" w:rsidRDefault="00AD2FE1" w:rsidP="00F837BC">
            <w:pPr>
              <w:pStyle w:val="ATATableBody"/>
              <w:rPr>
                <w:sz w:val="29"/>
                <w:szCs w:val="29"/>
              </w:rPr>
            </w:pPr>
            <w:r w:rsidRPr="00CD0A5B">
              <w:rPr>
                <w:sz w:val="29"/>
                <w:szCs w:val="29"/>
              </w:rPr>
              <w:t xml:space="preserve">يعتمد </w:t>
            </w:r>
            <w:r w:rsidR="00941689" w:rsidRPr="00CD0A5B">
              <w:rPr>
                <w:rFonts w:hint="cs"/>
                <w:sz w:val="29"/>
                <w:szCs w:val="29"/>
              </w:rPr>
              <w:t>الاقتصاد</w:t>
            </w:r>
            <w:r w:rsidRPr="00CD0A5B">
              <w:rPr>
                <w:sz w:val="29"/>
                <w:szCs w:val="29"/>
              </w:rPr>
              <w:t xml:space="preserve"> الوطني للدولة والأمن القومي على تأمين الأصول والعمليات الخاصة </w:t>
            </w:r>
            <w:r w:rsidR="00941689" w:rsidRPr="00CD0A5B">
              <w:rPr>
                <w:rFonts w:hint="cs"/>
                <w:sz w:val="29"/>
                <w:szCs w:val="29"/>
              </w:rPr>
              <w:t>بالاتصالات</w:t>
            </w:r>
            <w:r w:rsidRPr="00CD0A5B">
              <w:rPr>
                <w:sz w:val="29"/>
                <w:szCs w:val="29"/>
              </w:rPr>
              <w:t xml:space="preserve"> الحيوية داخل إطار البنية الأساسية الحرجة.</w:t>
            </w:r>
            <w:r w:rsidR="00150250">
              <w:rPr>
                <w:sz w:val="29"/>
                <w:szCs w:val="29"/>
              </w:rPr>
              <w:br/>
            </w:r>
          </w:p>
        </w:tc>
        <w:tc>
          <w:tcPr>
            <w:tcW w:w="3429" w:type="dxa"/>
          </w:tcPr>
          <w:p w14:paraId="741382D1" w14:textId="4CB56F4D" w:rsidR="0011012D" w:rsidRPr="00CD0A5B" w:rsidRDefault="00AD2FE1" w:rsidP="00F837BC">
            <w:pPr>
              <w:pStyle w:val="ATATableBody"/>
              <w:rPr>
                <w:sz w:val="29"/>
                <w:szCs w:val="29"/>
              </w:rPr>
            </w:pPr>
            <w:r w:rsidRPr="00CD0A5B">
              <w:rPr>
                <w:sz w:val="29"/>
                <w:szCs w:val="29"/>
              </w:rPr>
              <w:t xml:space="preserve">وتؤكد الهجمات </w:t>
            </w:r>
            <w:r w:rsidR="00941689" w:rsidRPr="00CD0A5B">
              <w:rPr>
                <w:rFonts w:hint="cs"/>
                <w:sz w:val="29"/>
                <w:szCs w:val="29"/>
              </w:rPr>
              <w:t>الإرهابية</w:t>
            </w:r>
            <w:r w:rsidRPr="00CD0A5B">
              <w:rPr>
                <w:sz w:val="29"/>
                <w:szCs w:val="29"/>
              </w:rPr>
              <w:t xml:space="preserve"> السابقة والكوارث الطبيعية الحاجة لحماية البنية الأساسية الحرجة لضمان اتخاذ كافة الاستعدادات والإجراءات اللازمة لمواجهتها.</w:t>
            </w:r>
          </w:p>
        </w:tc>
      </w:tr>
      <w:tr w:rsidR="0011012D" w:rsidRPr="00CD0A5B" w14:paraId="7585EA24" w14:textId="77777777" w:rsidTr="0011012D">
        <w:tc>
          <w:tcPr>
            <w:tcW w:w="2718" w:type="dxa"/>
          </w:tcPr>
          <w:p w14:paraId="13444689" w14:textId="4CD66483" w:rsidR="0011012D" w:rsidRPr="00CD0A5B" w:rsidRDefault="005A1561" w:rsidP="00F837BC">
            <w:pPr>
              <w:pStyle w:val="ATATableBody"/>
              <w:rPr>
                <w:sz w:val="29"/>
                <w:szCs w:val="29"/>
              </w:rPr>
            </w:pPr>
            <w:r w:rsidRPr="00CD0A5B">
              <w:rPr>
                <w:sz w:val="29"/>
                <w:szCs w:val="29"/>
              </w:rPr>
              <w:t>تصنيع المواد الحرجة</w:t>
            </w:r>
          </w:p>
        </w:tc>
        <w:tc>
          <w:tcPr>
            <w:tcW w:w="3429" w:type="dxa"/>
          </w:tcPr>
          <w:p w14:paraId="3D52B875" w14:textId="1206E562" w:rsidR="0011012D" w:rsidRPr="00CD0A5B" w:rsidRDefault="00AD2FE1" w:rsidP="00F837BC">
            <w:pPr>
              <w:pStyle w:val="ATATableBody"/>
              <w:rPr>
                <w:sz w:val="29"/>
                <w:szCs w:val="29"/>
              </w:rPr>
            </w:pPr>
            <w:r w:rsidRPr="00CD0A5B">
              <w:rPr>
                <w:sz w:val="29"/>
                <w:szCs w:val="29"/>
              </w:rPr>
              <w:t xml:space="preserve">يشكل قطاع الصناعات ذات الأهمية الحرجة أحد المكونات الأساسية </w:t>
            </w:r>
            <w:r w:rsidR="00941689" w:rsidRPr="00CD0A5B">
              <w:rPr>
                <w:rFonts w:hint="cs"/>
                <w:sz w:val="29"/>
                <w:szCs w:val="29"/>
              </w:rPr>
              <w:t>للاقتصاد</w:t>
            </w:r>
            <w:r w:rsidRPr="00CD0A5B">
              <w:rPr>
                <w:sz w:val="29"/>
                <w:szCs w:val="29"/>
              </w:rPr>
              <w:t xml:space="preserve"> القومي ويسهم بدرجة كبيرة في إجمالي الناتج المحلي وتوظيف عشرات الآلاف من العمال في البلاد.</w:t>
            </w:r>
          </w:p>
        </w:tc>
        <w:tc>
          <w:tcPr>
            <w:tcW w:w="3429" w:type="dxa"/>
          </w:tcPr>
          <w:p w14:paraId="297B2D4F" w14:textId="1E7DB82B" w:rsidR="0011012D" w:rsidRPr="00CD0A5B" w:rsidRDefault="00AD2FE1" w:rsidP="00F837BC">
            <w:pPr>
              <w:pStyle w:val="ATATableBody"/>
              <w:rPr>
                <w:sz w:val="29"/>
                <w:szCs w:val="29"/>
              </w:rPr>
            </w:pPr>
            <w:r w:rsidRPr="00CD0A5B">
              <w:rPr>
                <w:sz w:val="29"/>
                <w:szCs w:val="29"/>
              </w:rPr>
              <w:t xml:space="preserve">بينما يسهم قطاع الصناعات الحرجة إسهاماً كبيراً في تدعيم </w:t>
            </w:r>
            <w:r w:rsidR="00941689" w:rsidRPr="00CD0A5B">
              <w:rPr>
                <w:rFonts w:hint="cs"/>
                <w:sz w:val="29"/>
                <w:szCs w:val="29"/>
              </w:rPr>
              <w:t>الاقتصاد</w:t>
            </w:r>
            <w:r w:rsidRPr="00CD0A5B">
              <w:rPr>
                <w:sz w:val="29"/>
                <w:szCs w:val="29"/>
              </w:rPr>
              <w:t xml:space="preserve"> الوطني إلا أن هذا الإسهام لا يأتي دون مخاطر - فقد ينتج عن أهمية الصناعة من الناحية </w:t>
            </w:r>
            <w:r w:rsidR="00941689" w:rsidRPr="00CD0A5B">
              <w:rPr>
                <w:rFonts w:hint="cs"/>
                <w:sz w:val="29"/>
                <w:szCs w:val="29"/>
              </w:rPr>
              <w:t>الاقتصادية</w:t>
            </w:r>
            <w:r w:rsidRPr="00CD0A5B">
              <w:rPr>
                <w:sz w:val="29"/>
                <w:szCs w:val="29"/>
              </w:rPr>
              <w:t xml:space="preserve"> والقيمة </w:t>
            </w:r>
            <w:r w:rsidR="00941689" w:rsidRPr="00CD0A5B">
              <w:rPr>
                <w:rFonts w:hint="cs"/>
                <w:sz w:val="29"/>
                <w:szCs w:val="29"/>
              </w:rPr>
              <w:t>الاستراتيجية</w:t>
            </w:r>
            <w:r w:rsidRPr="00CD0A5B">
              <w:rPr>
                <w:sz w:val="29"/>
                <w:szCs w:val="29"/>
              </w:rPr>
              <w:t xml:space="preserve"> الحساسة استهداف هذا القطاع من جانب العناصر الإرهابية كهدف جذاب.</w:t>
            </w:r>
            <w:r w:rsidR="00150250">
              <w:rPr>
                <w:sz w:val="29"/>
                <w:szCs w:val="29"/>
              </w:rPr>
              <w:br/>
            </w:r>
          </w:p>
        </w:tc>
      </w:tr>
      <w:tr w:rsidR="0011012D" w:rsidRPr="00CD0A5B" w14:paraId="7BDE88A4" w14:textId="77777777" w:rsidTr="0011012D">
        <w:tc>
          <w:tcPr>
            <w:tcW w:w="2718" w:type="dxa"/>
          </w:tcPr>
          <w:p w14:paraId="2D745AFE" w14:textId="5A130DDB" w:rsidR="0011012D" w:rsidRPr="00CD0A5B" w:rsidRDefault="0011012D" w:rsidP="00F837BC">
            <w:pPr>
              <w:pStyle w:val="ATATableBody"/>
              <w:rPr>
                <w:sz w:val="29"/>
                <w:szCs w:val="29"/>
              </w:rPr>
            </w:pPr>
            <w:r w:rsidRPr="00CD0A5B">
              <w:rPr>
                <w:sz w:val="29"/>
                <w:szCs w:val="29"/>
              </w:rPr>
              <w:t xml:space="preserve">السدود </w:t>
            </w:r>
          </w:p>
        </w:tc>
        <w:tc>
          <w:tcPr>
            <w:tcW w:w="3429" w:type="dxa"/>
          </w:tcPr>
          <w:p w14:paraId="63D39C1C" w14:textId="580F0CFB" w:rsidR="0011012D" w:rsidRPr="00CD0A5B" w:rsidRDefault="00AD2FE1" w:rsidP="00F837BC">
            <w:pPr>
              <w:pStyle w:val="ATATableBody"/>
              <w:rPr>
                <w:sz w:val="29"/>
                <w:szCs w:val="29"/>
              </w:rPr>
            </w:pPr>
            <w:r w:rsidRPr="00CD0A5B">
              <w:rPr>
                <w:sz w:val="29"/>
                <w:szCs w:val="29"/>
              </w:rPr>
              <w:t xml:space="preserve">يعتبر قطاع السدود من القطاعات الحيوية المفيدة في البنية الأساسية الحرجة للبلاد حيث يوفر باستمرار نطاقات واسعة من المزايا </w:t>
            </w:r>
            <w:r w:rsidR="00941689" w:rsidRPr="00CD0A5B">
              <w:rPr>
                <w:rFonts w:hint="cs"/>
                <w:sz w:val="29"/>
                <w:szCs w:val="29"/>
              </w:rPr>
              <w:t>الاقتصادية</w:t>
            </w:r>
            <w:r w:rsidRPr="00CD0A5B">
              <w:rPr>
                <w:sz w:val="29"/>
                <w:szCs w:val="29"/>
              </w:rPr>
              <w:t xml:space="preserve"> والبيئية </w:t>
            </w:r>
            <w:r w:rsidR="00941689" w:rsidRPr="00CD0A5B">
              <w:rPr>
                <w:rFonts w:hint="cs"/>
                <w:sz w:val="29"/>
                <w:szCs w:val="29"/>
              </w:rPr>
              <w:t>والاجتماعية</w:t>
            </w:r>
            <w:r w:rsidRPr="00CD0A5B">
              <w:rPr>
                <w:sz w:val="29"/>
                <w:szCs w:val="29"/>
              </w:rPr>
              <w:t>، بما في ذلك الطاقة الكهرومائية، والملاحة النهرية، والإمداد بالمياه، والحياة البرية، ومعالجة الفضلات، والسيطرة على الفيضانات، والترفيه.</w:t>
            </w:r>
            <w:r w:rsidR="00150250">
              <w:rPr>
                <w:sz w:val="29"/>
                <w:szCs w:val="29"/>
              </w:rPr>
              <w:br/>
            </w:r>
          </w:p>
        </w:tc>
        <w:tc>
          <w:tcPr>
            <w:tcW w:w="3429" w:type="dxa"/>
          </w:tcPr>
          <w:p w14:paraId="4818D635" w14:textId="1B5E9927" w:rsidR="0011012D" w:rsidRPr="00CD0A5B" w:rsidRDefault="00AD2FE1" w:rsidP="00F837BC">
            <w:pPr>
              <w:pStyle w:val="ATATableBody"/>
              <w:rPr>
                <w:sz w:val="29"/>
                <w:szCs w:val="29"/>
              </w:rPr>
            </w:pPr>
            <w:r w:rsidRPr="00CD0A5B">
              <w:rPr>
                <w:sz w:val="29"/>
                <w:szCs w:val="29"/>
              </w:rPr>
              <w:t>وهناك قدر كبير من المخاطر في حالة فشل الأصول، بغض النظر عن السبب، داخل قطاع السدود ويمكن أن يتمخض عن ذلك تدمير بالغ بما في ذلك خسائر في الأرواح مع وقوع أضرار جسيمة بالممتلكات وعواقب وخيمة بعيدة المدى.</w:t>
            </w:r>
          </w:p>
        </w:tc>
      </w:tr>
      <w:tr w:rsidR="0011012D" w:rsidRPr="00CD0A5B" w14:paraId="1165D715" w14:textId="77777777" w:rsidTr="00926A1B">
        <w:trPr>
          <w:cantSplit/>
        </w:trPr>
        <w:tc>
          <w:tcPr>
            <w:tcW w:w="2718" w:type="dxa"/>
          </w:tcPr>
          <w:p w14:paraId="232CF02B" w14:textId="015CF4BD" w:rsidR="0011012D" w:rsidRPr="00CD0A5B" w:rsidRDefault="005A1561" w:rsidP="00F837BC">
            <w:pPr>
              <w:pStyle w:val="ATATableBody"/>
              <w:rPr>
                <w:sz w:val="29"/>
                <w:szCs w:val="29"/>
              </w:rPr>
            </w:pPr>
            <w:r w:rsidRPr="00CD0A5B">
              <w:rPr>
                <w:sz w:val="29"/>
                <w:szCs w:val="29"/>
              </w:rPr>
              <w:lastRenderedPageBreak/>
              <w:t>قاعدة الصناعات الدفاعية</w:t>
            </w:r>
          </w:p>
        </w:tc>
        <w:tc>
          <w:tcPr>
            <w:tcW w:w="3429" w:type="dxa"/>
          </w:tcPr>
          <w:p w14:paraId="5DF60FE7" w14:textId="77777777" w:rsidR="00A078B0" w:rsidRPr="00CD0A5B" w:rsidRDefault="00AA5E03" w:rsidP="00F837BC">
            <w:pPr>
              <w:pStyle w:val="ATATableBody"/>
              <w:rPr>
                <w:sz w:val="29"/>
                <w:szCs w:val="29"/>
              </w:rPr>
            </w:pPr>
            <w:r w:rsidRPr="00CD0A5B">
              <w:rPr>
                <w:sz w:val="29"/>
                <w:szCs w:val="29"/>
              </w:rPr>
              <w:t>يتكون قطاع قاعدة الصناعات الدفاعية من المنظمات الحكومية وهيئات القطاع الخاص التي يمكنها تدعيم العمليات العسكرية بطريقة مباشرة:</w:t>
            </w:r>
          </w:p>
          <w:p w14:paraId="0AFCFC17" w14:textId="3C7D3630" w:rsidR="00A078B0" w:rsidRPr="00CD0A5B" w:rsidRDefault="00A078B0" w:rsidP="00F837BC">
            <w:pPr>
              <w:pStyle w:val="ATABulletLevel01BodySlide"/>
              <w:rPr>
                <w:b/>
                <w:bCs w:val="0"/>
                <w:sz w:val="29"/>
                <w:szCs w:val="29"/>
              </w:rPr>
            </w:pPr>
            <w:r w:rsidRPr="00CD0A5B">
              <w:rPr>
                <w:b/>
                <w:bCs w:val="0"/>
                <w:sz w:val="29"/>
                <w:szCs w:val="29"/>
              </w:rPr>
              <w:t>القيام بعمليات البحوث والتطوير</w:t>
            </w:r>
          </w:p>
          <w:p w14:paraId="2D0BBC6D" w14:textId="77777777" w:rsidR="00A078B0" w:rsidRPr="00CD0A5B" w:rsidRDefault="00A078B0" w:rsidP="00F837BC">
            <w:pPr>
              <w:pStyle w:val="ATABulletLevel01BodySlide"/>
              <w:rPr>
                <w:b/>
                <w:bCs w:val="0"/>
                <w:sz w:val="29"/>
                <w:szCs w:val="29"/>
              </w:rPr>
            </w:pPr>
            <w:r w:rsidRPr="00CD0A5B">
              <w:rPr>
                <w:b/>
                <w:bCs w:val="0"/>
                <w:sz w:val="29"/>
                <w:szCs w:val="29"/>
              </w:rPr>
              <w:t>تصميم وتصنيع ودمج الأنظمة</w:t>
            </w:r>
          </w:p>
          <w:p w14:paraId="2BB01398" w14:textId="77777777" w:rsidR="00AD2FE1" w:rsidRPr="00CD0A5B" w:rsidRDefault="00A078B0" w:rsidP="00F837BC">
            <w:pPr>
              <w:pStyle w:val="ATABulletLevel01BodySlide"/>
              <w:rPr>
                <w:b/>
                <w:bCs w:val="0"/>
                <w:sz w:val="29"/>
                <w:szCs w:val="29"/>
              </w:rPr>
            </w:pPr>
            <w:r w:rsidRPr="00CD0A5B">
              <w:rPr>
                <w:b/>
                <w:bCs w:val="0"/>
                <w:sz w:val="29"/>
                <w:szCs w:val="29"/>
              </w:rPr>
              <w:t xml:space="preserve">صيانة المستودعات وخدمة أنظمة الأسلحة العسكرية، والأنظمة الفرعية والمكونات الرئيسية والمكونات الفرعية أو قطع الغيار </w:t>
            </w:r>
          </w:p>
          <w:p w14:paraId="0E066D61" w14:textId="3427B93A" w:rsidR="0011012D" w:rsidRPr="00CD0A5B" w:rsidRDefault="00AD2FE1" w:rsidP="00F837BC">
            <w:pPr>
              <w:pStyle w:val="ATATableBody"/>
              <w:rPr>
                <w:sz w:val="29"/>
                <w:szCs w:val="29"/>
              </w:rPr>
            </w:pPr>
            <w:r w:rsidRPr="00CD0A5B">
              <w:rPr>
                <w:sz w:val="29"/>
                <w:szCs w:val="29"/>
              </w:rPr>
              <w:t>الغرض من كل هذه هو الوفاء بمتطلبات الدفاع الوطني العسكري للبلاد.</w:t>
            </w:r>
            <w:r w:rsidR="00150250">
              <w:rPr>
                <w:sz w:val="29"/>
                <w:szCs w:val="29"/>
              </w:rPr>
              <w:br/>
            </w:r>
          </w:p>
        </w:tc>
        <w:tc>
          <w:tcPr>
            <w:tcW w:w="3429" w:type="dxa"/>
          </w:tcPr>
          <w:p w14:paraId="279EC7DB" w14:textId="6562682F" w:rsidR="0011012D" w:rsidRPr="00CD0A5B" w:rsidRDefault="00926A1B" w:rsidP="00F837BC">
            <w:pPr>
              <w:pStyle w:val="ATATableBody"/>
              <w:rPr>
                <w:sz w:val="29"/>
                <w:szCs w:val="29"/>
              </w:rPr>
            </w:pPr>
            <w:r w:rsidRPr="00CD0A5B">
              <w:rPr>
                <w:sz w:val="29"/>
                <w:szCs w:val="29"/>
              </w:rPr>
              <w:t xml:space="preserve">قد ينتج عن مهاجمة أي عنصر من قطاع الصناعات الدفاعية تعرض عدد أكبر من الأشخاص للخطر نظراً لتداعيات تقلص القدرات العسكرية للبلاد في مجال التصنيع العسكري الدفاعي. </w:t>
            </w:r>
          </w:p>
        </w:tc>
      </w:tr>
      <w:tr w:rsidR="0011012D" w:rsidRPr="00CD0A5B" w14:paraId="14248CC9" w14:textId="77777777" w:rsidTr="0011012D">
        <w:tc>
          <w:tcPr>
            <w:tcW w:w="2718" w:type="dxa"/>
          </w:tcPr>
          <w:p w14:paraId="3AA10C64" w14:textId="4E980B67" w:rsidR="0011012D" w:rsidRPr="00CD0A5B" w:rsidRDefault="005A1561" w:rsidP="00F837BC">
            <w:pPr>
              <w:pStyle w:val="ATATableBody"/>
              <w:rPr>
                <w:sz w:val="29"/>
                <w:szCs w:val="29"/>
              </w:rPr>
            </w:pPr>
            <w:r w:rsidRPr="00CD0A5B">
              <w:rPr>
                <w:sz w:val="29"/>
                <w:szCs w:val="29"/>
              </w:rPr>
              <w:t>خدمات الطوارئ</w:t>
            </w:r>
          </w:p>
        </w:tc>
        <w:tc>
          <w:tcPr>
            <w:tcW w:w="3429" w:type="dxa"/>
          </w:tcPr>
          <w:p w14:paraId="4F6520EF" w14:textId="406126C1" w:rsidR="0011012D" w:rsidRPr="00CD0A5B" w:rsidRDefault="00AA5E03" w:rsidP="00F837BC">
            <w:pPr>
              <w:pStyle w:val="ATATableBody"/>
              <w:rPr>
                <w:sz w:val="29"/>
                <w:szCs w:val="29"/>
              </w:rPr>
            </w:pPr>
            <w:r w:rsidRPr="00CD0A5B">
              <w:rPr>
                <w:sz w:val="29"/>
                <w:szCs w:val="29"/>
              </w:rPr>
              <w:t xml:space="preserve">يعتبر قطاع خدمات الطوارئ هو "الحامي" الرئيسي لسائر قطاعات البنية الأساسية الحرجة. </w:t>
            </w:r>
          </w:p>
        </w:tc>
        <w:tc>
          <w:tcPr>
            <w:tcW w:w="3429" w:type="dxa"/>
          </w:tcPr>
          <w:p w14:paraId="75AD4B09" w14:textId="72F9C1C8" w:rsidR="0011012D" w:rsidRPr="00CD0A5B" w:rsidRDefault="00AA5E03" w:rsidP="00F837BC">
            <w:pPr>
              <w:pStyle w:val="ATATableBody"/>
              <w:rPr>
                <w:sz w:val="29"/>
                <w:szCs w:val="29"/>
              </w:rPr>
            </w:pPr>
            <w:r w:rsidRPr="00CD0A5B">
              <w:rPr>
                <w:sz w:val="29"/>
                <w:szCs w:val="29"/>
              </w:rPr>
              <w:t>عند إلحاق أية خسائر أو شلل لقدرات قطاع خدمات الطوارئ سينتج عن ذلك تأثيرات سلبية على أمن البلاد والسلامة العامة والروح المعنوية.</w:t>
            </w:r>
            <w:r w:rsidR="00150250">
              <w:rPr>
                <w:sz w:val="29"/>
                <w:szCs w:val="29"/>
              </w:rPr>
              <w:br/>
            </w:r>
          </w:p>
        </w:tc>
      </w:tr>
      <w:tr w:rsidR="0011012D" w:rsidRPr="00CD0A5B" w14:paraId="2705667C" w14:textId="77777777" w:rsidTr="0011012D">
        <w:tc>
          <w:tcPr>
            <w:tcW w:w="2718" w:type="dxa"/>
          </w:tcPr>
          <w:p w14:paraId="68768B1F" w14:textId="2D298F1E" w:rsidR="0011012D" w:rsidRPr="00CD0A5B" w:rsidRDefault="0011012D" w:rsidP="00F837BC">
            <w:pPr>
              <w:pStyle w:val="ATATableBody"/>
              <w:rPr>
                <w:sz w:val="29"/>
                <w:szCs w:val="29"/>
              </w:rPr>
            </w:pPr>
            <w:r w:rsidRPr="00CD0A5B">
              <w:rPr>
                <w:sz w:val="29"/>
                <w:szCs w:val="29"/>
              </w:rPr>
              <w:t>الطاقة</w:t>
            </w:r>
          </w:p>
        </w:tc>
        <w:tc>
          <w:tcPr>
            <w:tcW w:w="3429" w:type="dxa"/>
          </w:tcPr>
          <w:p w14:paraId="26C40AFE" w14:textId="7EE53645" w:rsidR="0011012D" w:rsidRPr="00CD0A5B" w:rsidRDefault="00905439" w:rsidP="00F837BC">
            <w:pPr>
              <w:pStyle w:val="ATATableBody"/>
              <w:rPr>
                <w:sz w:val="29"/>
                <w:szCs w:val="29"/>
              </w:rPr>
            </w:pPr>
            <w:r w:rsidRPr="00CD0A5B">
              <w:rPr>
                <w:sz w:val="29"/>
                <w:szCs w:val="29"/>
              </w:rPr>
              <w:t xml:space="preserve">من أهم السمات الخاصة </w:t>
            </w:r>
            <w:r w:rsidR="00941689" w:rsidRPr="00CD0A5B">
              <w:rPr>
                <w:rFonts w:hint="cs"/>
                <w:sz w:val="29"/>
                <w:szCs w:val="29"/>
              </w:rPr>
              <w:t>للاقتصاد</w:t>
            </w:r>
            <w:r w:rsidRPr="00CD0A5B">
              <w:rPr>
                <w:sz w:val="29"/>
                <w:szCs w:val="29"/>
              </w:rPr>
              <w:t xml:space="preserve"> العالمي الحديث هو توافر البنية الأساسية السليمة لقطاع الطاقة.</w:t>
            </w:r>
          </w:p>
        </w:tc>
        <w:tc>
          <w:tcPr>
            <w:tcW w:w="3429" w:type="dxa"/>
          </w:tcPr>
          <w:p w14:paraId="49E666DF" w14:textId="728BFC15" w:rsidR="0011012D" w:rsidRPr="00CD0A5B" w:rsidRDefault="00AA5E03" w:rsidP="00F837BC">
            <w:pPr>
              <w:pStyle w:val="ATATableBody"/>
              <w:rPr>
                <w:sz w:val="29"/>
                <w:szCs w:val="29"/>
              </w:rPr>
            </w:pPr>
            <w:r w:rsidRPr="00CD0A5B">
              <w:rPr>
                <w:sz w:val="29"/>
                <w:szCs w:val="29"/>
              </w:rPr>
              <w:t xml:space="preserve">وحدوث أي تعطيل طويل الأمد لإمدادات الطاقة الأساسية - كالكهرباء أو البترول أو الغاز </w:t>
            </w:r>
            <w:r w:rsidR="00346BDB" w:rsidRPr="00CD0A5B">
              <w:rPr>
                <w:rFonts w:hint="cs"/>
                <w:sz w:val="29"/>
                <w:szCs w:val="29"/>
              </w:rPr>
              <w:t>الطبيعي</w:t>
            </w:r>
            <w:r w:rsidRPr="00CD0A5B">
              <w:rPr>
                <w:sz w:val="29"/>
                <w:szCs w:val="29"/>
              </w:rPr>
              <w:t xml:space="preserve"> - من شأنه إحداث أضرار بالغة </w:t>
            </w:r>
            <w:r w:rsidR="00346BDB" w:rsidRPr="00CD0A5B">
              <w:rPr>
                <w:rFonts w:hint="cs"/>
                <w:sz w:val="29"/>
                <w:szCs w:val="29"/>
              </w:rPr>
              <w:t>بالاقتصاد</w:t>
            </w:r>
            <w:r w:rsidRPr="00CD0A5B">
              <w:rPr>
                <w:sz w:val="29"/>
                <w:szCs w:val="29"/>
              </w:rPr>
              <w:t xml:space="preserve"> الوطني والشعب.</w:t>
            </w:r>
            <w:r w:rsidR="00150250">
              <w:rPr>
                <w:sz w:val="29"/>
                <w:szCs w:val="29"/>
              </w:rPr>
              <w:br/>
            </w:r>
          </w:p>
        </w:tc>
      </w:tr>
      <w:tr w:rsidR="0011012D" w:rsidRPr="00CD0A5B" w14:paraId="5AFC3924" w14:textId="77777777" w:rsidTr="00926A1B">
        <w:trPr>
          <w:cantSplit/>
        </w:trPr>
        <w:tc>
          <w:tcPr>
            <w:tcW w:w="2718" w:type="dxa"/>
          </w:tcPr>
          <w:p w14:paraId="20DF135A" w14:textId="0D068A8C" w:rsidR="0011012D" w:rsidRPr="00CD0A5B" w:rsidRDefault="005A1561" w:rsidP="00F837BC">
            <w:pPr>
              <w:pStyle w:val="ATATableBody"/>
              <w:rPr>
                <w:sz w:val="29"/>
                <w:szCs w:val="29"/>
              </w:rPr>
            </w:pPr>
            <w:r w:rsidRPr="00CD0A5B">
              <w:rPr>
                <w:sz w:val="29"/>
                <w:szCs w:val="29"/>
              </w:rPr>
              <w:lastRenderedPageBreak/>
              <w:t>الغذاء والزراعة</w:t>
            </w:r>
          </w:p>
        </w:tc>
        <w:tc>
          <w:tcPr>
            <w:tcW w:w="3429" w:type="dxa"/>
          </w:tcPr>
          <w:p w14:paraId="326455C2" w14:textId="0B14D626" w:rsidR="00DF40DE" w:rsidRPr="00CD0A5B" w:rsidRDefault="00DF40DE" w:rsidP="00F837BC">
            <w:pPr>
              <w:pStyle w:val="ATATableBody"/>
              <w:rPr>
                <w:sz w:val="29"/>
                <w:szCs w:val="29"/>
              </w:rPr>
            </w:pPr>
            <w:r w:rsidRPr="00CD0A5B">
              <w:rPr>
                <w:sz w:val="29"/>
                <w:szCs w:val="29"/>
              </w:rPr>
              <w:t xml:space="preserve">أي تعطيل أو إخلال بالبنية الأساسية في قطاع الأغذية والزراعة يمكن أن ينتج عنه عواقب فادحة بالنسبة للصحة العامة </w:t>
            </w:r>
            <w:r w:rsidR="00346BDB" w:rsidRPr="00CD0A5B">
              <w:rPr>
                <w:rFonts w:hint="cs"/>
                <w:sz w:val="29"/>
                <w:szCs w:val="29"/>
              </w:rPr>
              <w:t>والاقتصاد</w:t>
            </w:r>
            <w:r w:rsidRPr="00CD0A5B">
              <w:rPr>
                <w:sz w:val="29"/>
                <w:szCs w:val="29"/>
              </w:rPr>
              <w:t xml:space="preserve"> الوطني للدولة. </w:t>
            </w:r>
          </w:p>
          <w:p w14:paraId="28F63A50" w14:textId="3430FD3E" w:rsidR="0011012D" w:rsidRPr="00CD0A5B" w:rsidRDefault="00DF40DE" w:rsidP="00F837BC">
            <w:pPr>
              <w:pStyle w:val="ATATableBody"/>
              <w:rPr>
                <w:sz w:val="29"/>
                <w:szCs w:val="29"/>
              </w:rPr>
            </w:pPr>
            <w:r w:rsidRPr="00CD0A5B">
              <w:rPr>
                <w:sz w:val="29"/>
                <w:szCs w:val="29"/>
              </w:rPr>
              <w:t>فتأمين هذا القطاع يتضمن تحديات فريدة حيث أن الأغذية والأنظمة الزراعية مفتوحة بدرجة واسعة ومتشابكة وشديدة التنوع والتعقيد.</w:t>
            </w:r>
          </w:p>
        </w:tc>
        <w:tc>
          <w:tcPr>
            <w:tcW w:w="3429" w:type="dxa"/>
          </w:tcPr>
          <w:p w14:paraId="76B72ECA" w14:textId="6DF2B23C" w:rsidR="00905439" w:rsidRPr="00CD0A5B" w:rsidRDefault="00905439" w:rsidP="00F837BC">
            <w:pPr>
              <w:pStyle w:val="ATABulletLevel01BodySlide"/>
              <w:rPr>
                <w:b/>
                <w:bCs w:val="0"/>
                <w:sz w:val="29"/>
                <w:szCs w:val="29"/>
              </w:rPr>
            </w:pPr>
            <w:r w:rsidRPr="00CD0A5B">
              <w:rPr>
                <w:b/>
                <w:bCs w:val="0"/>
                <w:sz w:val="29"/>
                <w:szCs w:val="29"/>
              </w:rPr>
              <w:t xml:space="preserve">تتحرك المنتجات الغذائية بسرعة في القطاع التجاري لتصل إلى المستهلك، ولكن عمليات </w:t>
            </w:r>
            <w:r w:rsidR="00346BDB" w:rsidRPr="00CD0A5B">
              <w:rPr>
                <w:rFonts w:hint="cs"/>
                <w:b/>
                <w:bCs w:val="0"/>
                <w:sz w:val="29"/>
                <w:szCs w:val="29"/>
              </w:rPr>
              <w:t>اكتشاف</w:t>
            </w:r>
            <w:r w:rsidRPr="00CD0A5B">
              <w:rPr>
                <w:b/>
                <w:bCs w:val="0"/>
                <w:sz w:val="29"/>
                <w:szCs w:val="29"/>
              </w:rPr>
              <w:t xml:space="preserve"> الهجمات والتعرف على عمليات التلويث مثل نشر أمراض وبائية تضر بالثروة الحيوانية والنباتية أو عمليات التلوث الغذائي قد تستغرق وقتاً طويلا وقد تكون معقدة للغاية. </w:t>
            </w:r>
          </w:p>
          <w:p w14:paraId="0927E802" w14:textId="5F5665AC" w:rsidR="0011012D" w:rsidRPr="00CD0A5B" w:rsidRDefault="00905439" w:rsidP="00F837BC">
            <w:pPr>
              <w:pStyle w:val="ATABulletLevel01BodySlide"/>
              <w:rPr>
                <w:b/>
                <w:bCs w:val="0"/>
                <w:sz w:val="29"/>
                <w:szCs w:val="29"/>
              </w:rPr>
            </w:pPr>
            <w:r w:rsidRPr="00CD0A5B">
              <w:rPr>
                <w:b/>
                <w:bCs w:val="0"/>
                <w:sz w:val="29"/>
                <w:szCs w:val="29"/>
              </w:rPr>
              <w:t xml:space="preserve">لذلك يمكن أن تؤدي الهجمات ومحاولات التلوث التي تستهدف الأطعمة والقطاع الزراعي إلى عواقب وخيمة للإضرار بالثروة الحيوانية والمعامل والصحة العامة </w:t>
            </w:r>
            <w:r w:rsidR="00346BDB" w:rsidRPr="00CD0A5B">
              <w:rPr>
                <w:rFonts w:hint="cs"/>
                <w:b/>
                <w:bCs w:val="0"/>
                <w:sz w:val="29"/>
                <w:szCs w:val="29"/>
              </w:rPr>
              <w:t>والاقتصاد</w:t>
            </w:r>
            <w:r w:rsidRPr="00CD0A5B">
              <w:rPr>
                <w:b/>
                <w:bCs w:val="0"/>
                <w:sz w:val="29"/>
                <w:szCs w:val="29"/>
              </w:rPr>
              <w:t xml:space="preserve"> القومي.</w:t>
            </w:r>
            <w:r w:rsidR="00150250">
              <w:rPr>
                <w:b/>
                <w:bCs w:val="0"/>
                <w:sz w:val="29"/>
                <w:szCs w:val="29"/>
              </w:rPr>
              <w:br/>
            </w:r>
          </w:p>
        </w:tc>
      </w:tr>
      <w:tr w:rsidR="0011012D" w:rsidRPr="00CD0A5B" w14:paraId="299B6021" w14:textId="77777777" w:rsidTr="0011012D">
        <w:tc>
          <w:tcPr>
            <w:tcW w:w="2718" w:type="dxa"/>
          </w:tcPr>
          <w:p w14:paraId="358F13FC" w14:textId="61D2BEB1" w:rsidR="0011012D" w:rsidRPr="00CD0A5B" w:rsidRDefault="005A1561" w:rsidP="00F837BC">
            <w:pPr>
              <w:pStyle w:val="ATATableBody"/>
              <w:rPr>
                <w:sz w:val="29"/>
                <w:szCs w:val="29"/>
              </w:rPr>
            </w:pPr>
            <w:r w:rsidRPr="00CD0A5B">
              <w:rPr>
                <w:sz w:val="29"/>
                <w:szCs w:val="29"/>
              </w:rPr>
              <w:t>المرافق الحكومية والآثار الوطنية أو المعالم القومية</w:t>
            </w:r>
          </w:p>
        </w:tc>
        <w:tc>
          <w:tcPr>
            <w:tcW w:w="3429" w:type="dxa"/>
          </w:tcPr>
          <w:p w14:paraId="7E190795" w14:textId="77777777" w:rsidR="00DF40DE" w:rsidRPr="00CD0A5B" w:rsidRDefault="00DF40DE" w:rsidP="00F837BC">
            <w:pPr>
              <w:pStyle w:val="ATATableBody"/>
              <w:rPr>
                <w:sz w:val="29"/>
                <w:szCs w:val="29"/>
              </w:rPr>
            </w:pPr>
            <w:r w:rsidRPr="00CD0A5B">
              <w:rPr>
                <w:sz w:val="29"/>
                <w:szCs w:val="29"/>
              </w:rPr>
              <w:t xml:space="preserve">تعتبر المنشآت الحكومية والعناصر المرتبطة بها من الأهداف الجذابة للجماعات الإرهابية والإجرامية بسبب: </w:t>
            </w:r>
          </w:p>
          <w:p w14:paraId="678F5033" w14:textId="421FB305" w:rsidR="00DF40DE" w:rsidRPr="00CD0A5B" w:rsidRDefault="00DF40DE" w:rsidP="00F837BC">
            <w:pPr>
              <w:pStyle w:val="ATABulletLevel01BodySlide"/>
              <w:rPr>
                <w:b/>
                <w:bCs w:val="0"/>
                <w:sz w:val="29"/>
                <w:szCs w:val="29"/>
              </w:rPr>
            </w:pPr>
            <w:r w:rsidRPr="00CD0A5B">
              <w:rPr>
                <w:b/>
                <w:bCs w:val="0"/>
                <w:sz w:val="29"/>
                <w:szCs w:val="29"/>
              </w:rPr>
              <w:t xml:space="preserve">توفير الخدمات الفريدة </w:t>
            </w:r>
          </w:p>
          <w:p w14:paraId="4C68C034" w14:textId="52FC7D05" w:rsidR="00DF40DE" w:rsidRPr="00CD0A5B" w:rsidRDefault="00DF40DE" w:rsidP="00F837BC">
            <w:pPr>
              <w:pStyle w:val="ATABulletLevel01BodySlide"/>
              <w:rPr>
                <w:b/>
                <w:bCs w:val="0"/>
                <w:sz w:val="29"/>
                <w:szCs w:val="29"/>
              </w:rPr>
            </w:pPr>
            <w:r w:rsidRPr="00CD0A5B">
              <w:rPr>
                <w:b/>
                <w:bCs w:val="0"/>
                <w:sz w:val="29"/>
                <w:szCs w:val="29"/>
              </w:rPr>
              <w:t xml:space="preserve">القيام بوظائف حساسة </w:t>
            </w:r>
          </w:p>
          <w:p w14:paraId="7738FFA6" w14:textId="77777777" w:rsidR="0011012D" w:rsidRPr="00CD0A5B" w:rsidRDefault="00DF40DE" w:rsidP="00F837BC">
            <w:pPr>
              <w:pStyle w:val="ATABulletLevel01BodySlide"/>
              <w:rPr>
                <w:b/>
                <w:bCs w:val="0"/>
                <w:sz w:val="29"/>
                <w:szCs w:val="29"/>
              </w:rPr>
            </w:pPr>
            <w:r w:rsidRPr="00CD0A5B">
              <w:rPr>
                <w:b/>
                <w:bCs w:val="0"/>
                <w:sz w:val="29"/>
                <w:szCs w:val="29"/>
              </w:rPr>
              <w:t>لها قيمة رمزية هامة</w:t>
            </w:r>
          </w:p>
          <w:p w14:paraId="4CFE74F3" w14:textId="10875DD7" w:rsidR="00DF40DE" w:rsidRPr="00CD0A5B" w:rsidRDefault="00DF40DE" w:rsidP="00F837BC">
            <w:pPr>
              <w:pStyle w:val="ATATableBody"/>
              <w:rPr>
                <w:sz w:val="29"/>
                <w:szCs w:val="29"/>
              </w:rPr>
            </w:pPr>
            <w:r w:rsidRPr="00CD0A5B">
              <w:rPr>
                <w:sz w:val="29"/>
                <w:szCs w:val="29"/>
              </w:rPr>
              <w:t>حيث تعتبر الآثار الوطنية والمعالم القومية والتاريخية جوانب هامة من تراث الأمة وتقاليدها وقيمها.</w:t>
            </w:r>
            <w:r w:rsidR="00150250">
              <w:rPr>
                <w:sz w:val="29"/>
                <w:szCs w:val="29"/>
              </w:rPr>
              <w:br/>
            </w:r>
          </w:p>
        </w:tc>
        <w:tc>
          <w:tcPr>
            <w:tcW w:w="3429" w:type="dxa"/>
          </w:tcPr>
          <w:p w14:paraId="3546A88A" w14:textId="72F2E796" w:rsidR="0011012D" w:rsidRPr="00CD0A5B" w:rsidRDefault="00DF40DE" w:rsidP="00F837BC">
            <w:pPr>
              <w:pStyle w:val="ATABulletLevel01BodySlide"/>
              <w:rPr>
                <w:b/>
                <w:bCs w:val="0"/>
                <w:sz w:val="29"/>
                <w:szCs w:val="29"/>
              </w:rPr>
            </w:pPr>
            <w:r w:rsidRPr="00CD0A5B">
              <w:rPr>
                <w:b/>
                <w:bCs w:val="0"/>
                <w:sz w:val="29"/>
                <w:szCs w:val="29"/>
              </w:rPr>
              <w:t>وحيث أن المرافق الحكومية عادة ما تقع داخل مباني ذات ملكيات خاصة، فتصبح تلك المنشآت أهدافاً أيضاً.</w:t>
            </w:r>
          </w:p>
          <w:p w14:paraId="58D97647" w14:textId="791A925A" w:rsidR="00DF40DE" w:rsidRPr="00CD0A5B" w:rsidRDefault="00DF40DE" w:rsidP="00F837BC">
            <w:pPr>
              <w:pStyle w:val="ATABulletLevel01BodySlide"/>
              <w:rPr>
                <w:b/>
                <w:bCs w:val="0"/>
                <w:sz w:val="29"/>
                <w:szCs w:val="29"/>
              </w:rPr>
            </w:pPr>
            <w:r w:rsidRPr="00CD0A5B">
              <w:rPr>
                <w:b/>
                <w:bCs w:val="0"/>
                <w:sz w:val="29"/>
                <w:szCs w:val="29"/>
              </w:rPr>
              <w:t>وتشكل آثار عديدة ومعالم تاريخية الأساس الذي ترتكز عليه الأمة، الأمر الذي يجعلها أهدافاً رمزية.</w:t>
            </w:r>
          </w:p>
        </w:tc>
      </w:tr>
      <w:tr w:rsidR="0011012D" w:rsidRPr="00CD0A5B" w14:paraId="0FA23716" w14:textId="77777777" w:rsidTr="00785934">
        <w:trPr>
          <w:cantSplit/>
        </w:trPr>
        <w:tc>
          <w:tcPr>
            <w:tcW w:w="2718" w:type="dxa"/>
          </w:tcPr>
          <w:p w14:paraId="1CFAC619" w14:textId="7A1D8510" w:rsidR="0011012D" w:rsidRPr="00CD0A5B" w:rsidRDefault="005A1561" w:rsidP="00F837BC">
            <w:pPr>
              <w:pStyle w:val="ATATableBody"/>
              <w:rPr>
                <w:sz w:val="29"/>
                <w:szCs w:val="29"/>
              </w:rPr>
            </w:pPr>
            <w:r w:rsidRPr="00CD0A5B">
              <w:rPr>
                <w:sz w:val="29"/>
                <w:szCs w:val="29"/>
              </w:rPr>
              <w:lastRenderedPageBreak/>
              <w:t>منشآت الرعاية الصحية والصحة العامة</w:t>
            </w:r>
          </w:p>
        </w:tc>
        <w:tc>
          <w:tcPr>
            <w:tcW w:w="3429" w:type="dxa"/>
          </w:tcPr>
          <w:p w14:paraId="5B8E705E" w14:textId="728DC4F9" w:rsidR="0011012D" w:rsidRPr="00CD0A5B" w:rsidRDefault="00063648" w:rsidP="00F837BC">
            <w:pPr>
              <w:pStyle w:val="ATATableBody"/>
              <w:rPr>
                <w:sz w:val="29"/>
                <w:szCs w:val="29"/>
              </w:rPr>
            </w:pPr>
            <w:r w:rsidRPr="00CD0A5B">
              <w:rPr>
                <w:sz w:val="29"/>
                <w:szCs w:val="29"/>
              </w:rPr>
              <w:t xml:space="preserve">يشكل قطاع الرعاية الصحية والصحة العامة نطاقاً هاماً من </w:t>
            </w:r>
            <w:r w:rsidR="00346BDB" w:rsidRPr="00CD0A5B">
              <w:rPr>
                <w:rFonts w:hint="cs"/>
                <w:sz w:val="29"/>
                <w:szCs w:val="29"/>
              </w:rPr>
              <w:t>الاقتصاد</w:t>
            </w:r>
            <w:r w:rsidRPr="00CD0A5B">
              <w:rPr>
                <w:sz w:val="29"/>
                <w:szCs w:val="29"/>
              </w:rPr>
              <w:t xml:space="preserve"> في كثير من الدول.</w:t>
            </w:r>
          </w:p>
        </w:tc>
        <w:tc>
          <w:tcPr>
            <w:tcW w:w="3429" w:type="dxa"/>
          </w:tcPr>
          <w:p w14:paraId="1447063E" w14:textId="23E585B4" w:rsidR="00063648" w:rsidRPr="00CD0A5B" w:rsidRDefault="00063648" w:rsidP="00F837BC">
            <w:pPr>
              <w:pStyle w:val="ATABulletLevel01BodySlide"/>
              <w:rPr>
                <w:b/>
                <w:bCs w:val="0"/>
                <w:sz w:val="29"/>
                <w:szCs w:val="29"/>
              </w:rPr>
            </w:pPr>
            <w:r w:rsidRPr="00CD0A5B">
              <w:rPr>
                <w:b/>
                <w:bCs w:val="0"/>
                <w:sz w:val="29"/>
                <w:szCs w:val="29"/>
              </w:rPr>
              <w:t xml:space="preserve">ونظراً لانتشار هذا القطاع في نطاقات واسعة تتعرض المرافق الصحية لهجمات محتملة ويصبح من الصعب حمايتها. </w:t>
            </w:r>
          </w:p>
          <w:p w14:paraId="54F26543" w14:textId="77777777" w:rsidR="0011012D" w:rsidRPr="00150250" w:rsidRDefault="00063648" w:rsidP="00F837BC">
            <w:pPr>
              <w:pStyle w:val="ATABulletLevel01BodySlide"/>
              <w:rPr>
                <w:sz w:val="29"/>
                <w:szCs w:val="29"/>
                <w:rtl w:val="0"/>
              </w:rPr>
            </w:pPr>
            <w:r w:rsidRPr="00CD0A5B">
              <w:rPr>
                <w:b/>
                <w:bCs w:val="0"/>
                <w:sz w:val="29"/>
                <w:szCs w:val="29"/>
              </w:rPr>
              <w:t>ويتعين ضمان توافر نظام مرن من الرعاية الصحية والصحة العامة بحيث يصمد ضد محاولات التعطيل ويظل متأهباً لحماية الأرواح وحماية الصحة العامة والسلامة للمواطنين، الأمر الذي يشكل أهمية حيوية لسلامة وأمن البلاد.</w:t>
            </w:r>
          </w:p>
          <w:p w14:paraId="0279A456" w14:textId="3747067C" w:rsidR="00150250" w:rsidRPr="00CD0A5B" w:rsidRDefault="00150250" w:rsidP="00150250">
            <w:pPr>
              <w:pStyle w:val="ATABulletLevel01BodySlide"/>
              <w:numPr>
                <w:ilvl w:val="0"/>
                <w:numId w:val="0"/>
              </w:numPr>
              <w:ind w:left="72"/>
              <w:rPr>
                <w:sz w:val="29"/>
                <w:szCs w:val="29"/>
              </w:rPr>
            </w:pPr>
          </w:p>
        </w:tc>
      </w:tr>
      <w:tr w:rsidR="0011012D" w:rsidRPr="00CD0A5B" w14:paraId="35292717" w14:textId="77777777" w:rsidTr="0011012D">
        <w:tc>
          <w:tcPr>
            <w:tcW w:w="2718" w:type="dxa"/>
          </w:tcPr>
          <w:p w14:paraId="1A05033D" w14:textId="5C243760" w:rsidR="0011012D" w:rsidRPr="00CD0A5B" w:rsidRDefault="0011012D" w:rsidP="00F837BC">
            <w:pPr>
              <w:pStyle w:val="ATATableBody"/>
              <w:rPr>
                <w:sz w:val="29"/>
                <w:szCs w:val="29"/>
              </w:rPr>
            </w:pPr>
            <w:r w:rsidRPr="00CD0A5B">
              <w:rPr>
                <w:sz w:val="29"/>
                <w:szCs w:val="29"/>
              </w:rPr>
              <w:t>قطاع تكنولوجيا المعلومات</w:t>
            </w:r>
          </w:p>
        </w:tc>
        <w:tc>
          <w:tcPr>
            <w:tcW w:w="3429" w:type="dxa"/>
          </w:tcPr>
          <w:p w14:paraId="11AA6E74" w14:textId="486D5A74" w:rsidR="00063648" w:rsidRPr="00CD0A5B" w:rsidRDefault="00AE7E38" w:rsidP="00F837BC">
            <w:pPr>
              <w:pStyle w:val="ATATableBody"/>
              <w:rPr>
                <w:sz w:val="29"/>
                <w:szCs w:val="29"/>
              </w:rPr>
            </w:pPr>
            <w:r w:rsidRPr="00CD0A5B">
              <w:rPr>
                <w:sz w:val="29"/>
                <w:szCs w:val="29"/>
              </w:rPr>
              <w:t xml:space="preserve">يحتل قطاع تكنولوجيا المعلومات مكانة مركزية هامة في أمن وسلامة البلاد </w:t>
            </w:r>
            <w:r w:rsidR="00346BDB" w:rsidRPr="00CD0A5B">
              <w:rPr>
                <w:rFonts w:hint="cs"/>
                <w:sz w:val="29"/>
                <w:szCs w:val="29"/>
              </w:rPr>
              <w:t>والاقتصاد</w:t>
            </w:r>
            <w:r w:rsidRPr="00CD0A5B">
              <w:rPr>
                <w:sz w:val="29"/>
                <w:szCs w:val="29"/>
              </w:rPr>
              <w:t xml:space="preserve"> والصحة العامة. </w:t>
            </w:r>
          </w:p>
          <w:p w14:paraId="7B5AFCD9" w14:textId="77777777" w:rsidR="0011012D" w:rsidRPr="00CD0A5B" w:rsidRDefault="00905439" w:rsidP="00F837BC">
            <w:pPr>
              <w:pStyle w:val="ATATableBody"/>
              <w:rPr>
                <w:sz w:val="29"/>
                <w:szCs w:val="29"/>
              </w:rPr>
            </w:pPr>
            <w:r w:rsidRPr="00CD0A5B">
              <w:rPr>
                <w:sz w:val="29"/>
                <w:szCs w:val="29"/>
              </w:rPr>
              <w:t xml:space="preserve">وتلك الأنظمة الهامة تمكن </w:t>
            </w:r>
            <w:r w:rsidR="00346BDB" w:rsidRPr="00CD0A5B">
              <w:rPr>
                <w:rFonts w:hint="cs"/>
                <w:sz w:val="29"/>
                <w:szCs w:val="29"/>
              </w:rPr>
              <w:t>الاقتصاد</w:t>
            </w:r>
            <w:r w:rsidRPr="00CD0A5B">
              <w:rPr>
                <w:sz w:val="29"/>
                <w:szCs w:val="29"/>
              </w:rPr>
              <w:t xml:space="preserve"> القومي من </w:t>
            </w:r>
            <w:r w:rsidR="00346BDB" w:rsidRPr="00CD0A5B">
              <w:rPr>
                <w:rFonts w:hint="cs"/>
                <w:sz w:val="29"/>
                <w:szCs w:val="29"/>
              </w:rPr>
              <w:t>الاستمرار</w:t>
            </w:r>
            <w:r w:rsidRPr="00CD0A5B">
              <w:rPr>
                <w:sz w:val="29"/>
                <w:szCs w:val="29"/>
              </w:rPr>
              <w:t xml:space="preserve"> في النشاط الوظيفي، وهي أمر ضروري للحفاظ على الأمن القومي </w:t>
            </w:r>
            <w:r w:rsidR="00346BDB" w:rsidRPr="00CD0A5B">
              <w:rPr>
                <w:rFonts w:hint="cs"/>
                <w:sz w:val="29"/>
                <w:szCs w:val="29"/>
              </w:rPr>
              <w:t>والاستقرار</w:t>
            </w:r>
            <w:r w:rsidRPr="00CD0A5B">
              <w:rPr>
                <w:sz w:val="29"/>
                <w:szCs w:val="29"/>
              </w:rPr>
              <w:t xml:space="preserve"> الداخلي.</w:t>
            </w:r>
          </w:p>
          <w:p w14:paraId="4D59EF29" w14:textId="696A1D57" w:rsidR="00EC11DD" w:rsidRPr="00CD0A5B" w:rsidRDefault="00EC11DD" w:rsidP="00F837BC">
            <w:pPr>
              <w:pStyle w:val="ATATableBody"/>
              <w:rPr>
                <w:sz w:val="29"/>
                <w:szCs w:val="29"/>
              </w:rPr>
            </w:pPr>
          </w:p>
        </w:tc>
        <w:tc>
          <w:tcPr>
            <w:tcW w:w="3429" w:type="dxa"/>
          </w:tcPr>
          <w:p w14:paraId="0E38D3FC" w14:textId="5096BF70" w:rsidR="0011012D" w:rsidRPr="00CD0A5B" w:rsidRDefault="00063648" w:rsidP="00F837BC">
            <w:pPr>
              <w:pStyle w:val="ATATableBody"/>
              <w:rPr>
                <w:sz w:val="29"/>
                <w:szCs w:val="29"/>
              </w:rPr>
            </w:pPr>
            <w:r w:rsidRPr="00CD0A5B">
              <w:rPr>
                <w:sz w:val="29"/>
                <w:szCs w:val="29"/>
              </w:rPr>
              <w:t>وأي هجوم على تكنولوجيا المعلومات من شأنه إلحاق عواقب وخيمة تؤثر على العديد من قطاعات البنية الأساسية الحرجة التي تعتمد على منتجات وخدمات هذا القطاع بما في ذلك شبكات وأنظمة التشغيل الموثوقة ونقل وتخزين البيانات الحرجة.</w:t>
            </w:r>
          </w:p>
        </w:tc>
      </w:tr>
      <w:tr w:rsidR="0011012D" w:rsidRPr="00CD0A5B" w14:paraId="59FC3998" w14:textId="77777777" w:rsidTr="0011012D">
        <w:tc>
          <w:tcPr>
            <w:tcW w:w="2718" w:type="dxa"/>
          </w:tcPr>
          <w:p w14:paraId="07C00740" w14:textId="0ADCD87C" w:rsidR="0011012D" w:rsidRPr="00CD0A5B" w:rsidRDefault="00346BDB" w:rsidP="00941689">
            <w:pPr>
              <w:pStyle w:val="ATATableBody"/>
              <w:rPr>
                <w:sz w:val="29"/>
                <w:szCs w:val="29"/>
              </w:rPr>
            </w:pPr>
            <w:r w:rsidRPr="00CD0A5B">
              <w:rPr>
                <w:rFonts w:hint="cs"/>
                <w:sz w:val="29"/>
                <w:szCs w:val="29"/>
              </w:rPr>
              <w:t>المفاعلات،</w:t>
            </w:r>
            <w:r w:rsidR="005A1561" w:rsidRPr="00CD0A5B">
              <w:rPr>
                <w:sz w:val="29"/>
                <w:szCs w:val="29"/>
              </w:rPr>
              <w:t xml:space="preserve"> </w:t>
            </w:r>
            <w:r w:rsidR="00941689" w:rsidRPr="00CD0A5B">
              <w:rPr>
                <w:rFonts w:hint="cs"/>
                <w:sz w:val="29"/>
                <w:szCs w:val="29"/>
              </w:rPr>
              <w:t>و</w:t>
            </w:r>
            <w:r w:rsidR="005A1561" w:rsidRPr="00CD0A5B">
              <w:rPr>
                <w:sz w:val="29"/>
                <w:szCs w:val="29"/>
              </w:rPr>
              <w:t>المواد، والنفايات</w:t>
            </w:r>
            <w:r w:rsidR="00941689" w:rsidRPr="00CD0A5B">
              <w:rPr>
                <w:sz w:val="29"/>
                <w:szCs w:val="29"/>
              </w:rPr>
              <w:t xml:space="preserve"> النووية</w:t>
            </w:r>
          </w:p>
        </w:tc>
        <w:tc>
          <w:tcPr>
            <w:tcW w:w="3429" w:type="dxa"/>
          </w:tcPr>
          <w:p w14:paraId="6CE2C83C" w14:textId="50F5251F" w:rsidR="0011012D" w:rsidRPr="00CD0A5B" w:rsidRDefault="001161F1" w:rsidP="00F837BC">
            <w:pPr>
              <w:pStyle w:val="ATATableBody"/>
              <w:rPr>
                <w:sz w:val="29"/>
                <w:szCs w:val="29"/>
              </w:rPr>
            </w:pPr>
            <w:r w:rsidRPr="00CD0A5B">
              <w:rPr>
                <w:sz w:val="29"/>
                <w:szCs w:val="29"/>
              </w:rPr>
              <w:t>تعتبر المفاعلات النووية للطاقة من أهم قطاعات البنية الأساسية الحرجة التي يتم الدفاع عنها وتقويتها مادياً في أي دولة.</w:t>
            </w:r>
          </w:p>
        </w:tc>
        <w:tc>
          <w:tcPr>
            <w:tcW w:w="3429" w:type="dxa"/>
          </w:tcPr>
          <w:p w14:paraId="6CA30A23" w14:textId="77777777" w:rsidR="0011012D" w:rsidRPr="00CD0A5B" w:rsidRDefault="001161F1" w:rsidP="00F837BC">
            <w:pPr>
              <w:pStyle w:val="ATATableBody"/>
              <w:rPr>
                <w:sz w:val="29"/>
                <w:szCs w:val="29"/>
              </w:rPr>
            </w:pPr>
            <w:r w:rsidRPr="00CD0A5B">
              <w:rPr>
                <w:sz w:val="29"/>
                <w:szCs w:val="29"/>
              </w:rPr>
              <w:t>حيث أن وقوع أي هجوم على مفاعل نووي، أو مواد مشعة، أو نفايات مشعة سيتسبب في أضرار أمنية فادحة بغض النظر عن النطاق، خصوصاً إذا نتج عنه تسرب مواد مشعة إلى الأوساط البيئية المحيطة.</w:t>
            </w:r>
          </w:p>
          <w:p w14:paraId="5328A985" w14:textId="64B6F03A" w:rsidR="00EC11DD" w:rsidRPr="00CD0A5B" w:rsidRDefault="00EC11DD" w:rsidP="00F837BC">
            <w:pPr>
              <w:pStyle w:val="ATATableBody"/>
              <w:rPr>
                <w:sz w:val="29"/>
                <w:szCs w:val="29"/>
              </w:rPr>
            </w:pPr>
          </w:p>
        </w:tc>
      </w:tr>
      <w:tr w:rsidR="0011012D" w:rsidRPr="00CD0A5B" w14:paraId="35B95AEC" w14:textId="77777777" w:rsidTr="00F837BC">
        <w:trPr>
          <w:cantSplit/>
          <w:trHeight w:val="2843"/>
        </w:trPr>
        <w:tc>
          <w:tcPr>
            <w:tcW w:w="2718" w:type="dxa"/>
          </w:tcPr>
          <w:p w14:paraId="52ABEB9B" w14:textId="2342B1CF" w:rsidR="0011012D" w:rsidRPr="00CD0A5B" w:rsidRDefault="005A1561" w:rsidP="00F837BC">
            <w:pPr>
              <w:pStyle w:val="ATATableBody"/>
              <w:rPr>
                <w:sz w:val="29"/>
                <w:szCs w:val="29"/>
              </w:rPr>
            </w:pPr>
            <w:r w:rsidRPr="00CD0A5B">
              <w:rPr>
                <w:sz w:val="29"/>
                <w:szCs w:val="29"/>
              </w:rPr>
              <w:lastRenderedPageBreak/>
              <w:t>النقل، والبريد، وأنظمة الشحن</w:t>
            </w:r>
          </w:p>
        </w:tc>
        <w:tc>
          <w:tcPr>
            <w:tcW w:w="3429" w:type="dxa"/>
          </w:tcPr>
          <w:p w14:paraId="287A8582" w14:textId="7E78CD23" w:rsidR="0011012D" w:rsidRPr="00CD0A5B" w:rsidRDefault="001161F1" w:rsidP="00F837BC">
            <w:pPr>
              <w:pStyle w:val="ATATableBody"/>
              <w:rPr>
                <w:sz w:val="29"/>
                <w:szCs w:val="29"/>
              </w:rPr>
            </w:pPr>
            <w:r w:rsidRPr="00CD0A5B">
              <w:rPr>
                <w:sz w:val="29"/>
                <w:szCs w:val="29"/>
              </w:rPr>
              <w:t xml:space="preserve"> يشمل نظام النقل والمواصلات وشبكات البريد والشحن مجموعة شاسعة ومفتوحة ومتاحة من الأنظمة المتداخلة من الخطوط الجوية والطرق والمسالك والمحطات ووسائل النقل التي توفر الخدمات الأساسية للحياة.</w:t>
            </w:r>
          </w:p>
        </w:tc>
        <w:tc>
          <w:tcPr>
            <w:tcW w:w="3429" w:type="dxa"/>
          </w:tcPr>
          <w:p w14:paraId="7F608ACA" w14:textId="106D4825" w:rsidR="0011012D" w:rsidRPr="00CD0A5B" w:rsidRDefault="001161F1" w:rsidP="00F837BC">
            <w:pPr>
              <w:pStyle w:val="ATATableBody"/>
              <w:rPr>
                <w:sz w:val="29"/>
                <w:szCs w:val="29"/>
              </w:rPr>
            </w:pPr>
            <w:r w:rsidRPr="00CD0A5B">
              <w:rPr>
                <w:sz w:val="29"/>
                <w:szCs w:val="29"/>
              </w:rPr>
              <w:t>يتميز هذا القطاع بحجم هائل وقدرات بالغة حيث يتحرك بلايين المسافرين ويتم نقل ملايين الأطنان من البضائع وتسليمها وتوزيعها كل عام؛ الأمر الذي يجعل هذا القطاع من أكثر الأهداف جاذبية للإرهابيين.</w:t>
            </w:r>
          </w:p>
        </w:tc>
      </w:tr>
      <w:tr w:rsidR="0011012D" w:rsidRPr="00CD0A5B" w14:paraId="3CC3E5A2" w14:textId="77777777" w:rsidTr="0011012D">
        <w:tc>
          <w:tcPr>
            <w:tcW w:w="2718" w:type="dxa"/>
          </w:tcPr>
          <w:p w14:paraId="02F10CCD" w14:textId="390D5FF3" w:rsidR="0011012D" w:rsidRPr="00CD0A5B" w:rsidRDefault="0011012D" w:rsidP="00F837BC">
            <w:pPr>
              <w:pStyle w:val="ATATableBody"/>
              <w:rPr>
                <w:sz w:val="29"/>
                <w:szCs w:val="29"/>
              </w:rPr>
            </w:pPr>
            <w:r w:rsidRPr="00CD0A5B">
              <w:rPr>
                <w:sz w:val="29"/>
                <w:szCs w:val="29"/>
              </w:rPr>
              <w:t>الماء</w:t>
            </w:r>
          </w:p>
        </w:tc>
        <w:tc>
          <w:tcPr>
            <w:tcW w:w="3429" w:type="dxa"/>
          </w:tcPr>
          <w:p w14:paraId="7484D7AE" w14:textId="194EA077" w:rsidR="0011012D" w:rsidRPr="00CD0A5B" w:rsidRDefault="00785934" w:rsidP="00F837BC">
            <w:pPr>
              <w:pStyle w:val="ATATableBody"/>
              <w:rPr>
                <w:sz w:val="29"/>
                <w:szCs w:val="29"/>
              </w:rPr>
            </w:pPr>
            <w:r w:rsidRPr="00CD0A5B">
              <w:rPr>
                <w:sz w:val="29"/>
                <w:szCs w:val="29"/>
              </w:rPr>
              <w:t>مياه الشرب النقية لها قيمة حيوية في حياة الأفراد والمجتمع.</w:t>
            </w:r>
          </w:p>
        </w:tc>
        <w:tc>
          <w:tcPr>
            <w:tcW w:w="3429" w:type="dxa"/>
          </w:tcPr>
          <w:p w14:paraId="72AC34B2" w14:textId="56141A74" w:rsidR="001161F1" w:rsidRPr="00CD0A5B" w:rsidRDefault="0011012D" w:rsidP="00F837BC">
            <w:pPr>
              <w:pStyle w:val="ATABulletLevel01BodySlide"/>
              <w:rPr>
                <w:b/>
                <w:bCs w:val="0"/>
                <w:sz w:val="29"/>
                <w:szCs w:val="29"/>
              </w:rPr>
            </w:pPr>
            <w:r w:rsidRPr="00CD0A5B">
              <w:rPr>
                <w:b/>
                <w:bCs w:val="0"/>
                <w:sz w:val="29"/>
                <w:szCs w:val="29"/>
              </w:rPr>
              <w:t xml:space="preserve">أية حوادث لتلويث مياه الشرب أو الحرمان من خدمات توفير مياه الشرب سيكون لها أبعاد واسعة النطاق على الصحة العامة </w:t>
            </w:r>
            <w:r w:rsidR="00346BDB" w:rsidRPr="00CD0A5B">
              <w:rPr>
                <w:rFonts w:hint="cs"/>
                <w:b/>
                <w:bCs w:val="0"/>
                <w:sz w:val="29"/>
                <w:szCs w:val="29"/>
              </w:rPr>
              <w:t>والاقتصاد</w:t>
            </w:r>
            <w:r w:rsidRPr="00CD0A5B">
              <w:rPr>
                <w:b/>
                <w:bCs w:val="0"/>
                <w:sz w:val="29"/>
                <w:szCs w:val="29"/>
              </w:rPr>
              <w:t xml:space="preserve"> والبيئة بالإضافة إلى الآثار النفسية عبر البلاد. </w:t>
            </w:r>
          </w:p>
          <w:p w14:paraId="3686757F" w14:textId="77777777" w:rsidR="0011012D" w:rsidRPr="00150250" w:rsidRDefault="00785934" w:rsidP="00F837BC">
            <w:pPr>
              <w:pStyle w:val="ATABulletLevel01BodySlide"/>
              <w:rPr>
                <w:sz w:val="29"/>
                <w:szCs w:val="29"/>
                <w:rtl w:val="0"/>
              </w:rPr>
            </w:pPr>
            <w:r w:rsidRPr="00CD0A5B">
              <w:rPr>
                <w:b/>
                <w:bCs w:val="0"/>
                <w:sz w:val="29"/>
                <w:szCs w:val="29"/>
              </w:rPr>
              <w:t xml:space="preserve">كما سينتج عن تعطيل أو إيقاف خدمات مياه الشرب إلى تعطيل سائر الخدمات الحيوية الأخرى مثل مكافحة الحريق والرعاية الصحية وأنظمة التدفئة والتبريد مما </w:t>
            </w:r>
            <w:r w:rsidR="00346BDB" w:rsidRPr="00CD0A5B">
              <w:rPr>
                <w:rFonts w:hint="cs"/>
                <w:b/>
                <w:bCs w:val="0"/>
                <w:sz w:val="29"/>
                <w:szCs w:val="29"/>
              </w:rPr>
              <w:t>سيتمخض</w:t>
            </w:r>
            <w:r w:rsidRPr="00CD0A5B">
              <w:rPr>
                <w:b/>
                <w:bCs w:val="0"/>
                <w:sz w:val="29"/>
                <w:szCs w:val="29"/>
              </w:rPr>
              <w:t xml:space="preserve"> عن عواقب فادحة </w:t>
            </w:r>
            <w:r w:rsidR="00346BDB" w:rsidRPr="00CD0A5B">
              <w:rPr>
                <w:rFonts w:hint="cs"/>
                <w:b/>
                <w:bCs w:val="0"/>
                <w:sz w:val="29"/>
                <w:szCs w:val="29"/>
              </w:rPr>
              <w:t>للاقتصاد</w:t>
            </w:r>
            <w:r w:rsidRPr="00CD0A5B">
              <w:rPr>
                <w:b/>
                <w:bCs w:val="0"/>
                <w:sz w:val="29"/>
                <w:szCs w:val="29"/>
              </w:rPr>
              <w:t xml:space="preserve"> الوطني أو الإقليمي. </w:t>
            </w:r>
          </w:p>
          <w:p w14:paraId="27532BCB" w14:textId="7F79A473" w:rsidR="00150250" w:rsidRPr="00CD0A5B" w:rsidRDefault="00150250" w:rsidP="00150250">
            <w:pPr>
              <w:pStyle w:val="ATABulletLevel01BodySlide"/>
              <w:numPr>
                <w:ilvl w:val="0"/>
                <w:numId w:val="0"/>
              </w:numPr>
              <w:ind w:left="72"/>
              <w:rPr>
                <w:sz w:val="29"/>
                <w:szCs w:val="29"/>
              </w:rPr>
            </w:pPr>
          </w:p>
        </w:tc>
      </w:tr>
    </w:tbl>
    <w:p w14:paraId="7F9379DB" w14:textId="77777777" w:rsidR="00C305B2" w:rsidRPr="00CD0A5B" w:rsidRDefault="00C305B2" w:rsidP="002B3D5A">
      <w:pPr>
        <w:rPr>
          <w:rFonts w:ascii="Cambria" w:hAnsi="Cambria" w:cs="Arial"/>
          <w:sz w:val="29"/>
          <w:szCs w:val="29"/>
        </w:rPr>
      </w:pPr>
    </w:p>
    <w:p w14:paraId="7F9379EF" w14:textId="77777777" w:rsidR="00E31DA1" w:rsidRPr="00CD0A5B" w:rsidRDefault="00E31DA1" w:rsidP="002B3D5A">
      <w:pPr>
        <w:rPr>
          <w:rFonts w:ascii="Cambria" w:hAnsi="Cambria"/>
          <w:b/>
          <w:sz w:val="29"/>
          <w:szCs w:val="29"/>
        </w:rPr>
      </w:pPr>
    </w:p>
    <w:sectPr w:rsidR="00E31DA1" w:rsidRPr="00CD0A5B"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C7AA3" w14:textId="77777777" w:rsidR="002B24FE" w:rsidRDefault="002B24FE" w:rsidP="00C82114">
      <w:r>
        <w:separator/>
      </w:r>
    </w:p>
  </w:endnote>
  <w:endnote w:type="continuationSeparator" w:id="0">
    <w:p w14:paraId="4A4061A4" w14:textId="77777777" w:rsidR="002B24FE" w:rsidRDefault="002B24FE"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127AA1" w14:paraId="7F9379FC" w14:textId="77777777" w:rsidTr="00127AA1">
      <w:tc>
        <w:tcPr>
          <w:tcW w:w="8100" w:type="dxa"/>
          <w:shd w:val="clear" w:color="auto" w:fill="auto"/>
        </w:tcPr>
        <w:p w14:paraId="7F9379FA" w14:textId="32D8D4D2" w:rsidR="00C305B2" w:rsidRPr="00127AA1" w:rsidRDefault="00B83360" w:rsidP="00127AA1">
          <w:pPr>
            <w:pStyle w:val="ATAFooter"/>
            <w:bidi w:val="0"/>
            <w:rPr>
              <w:rStyle w:val="ATAFooterChar"/>
              <w:rFonts w:eastAsia="Arial Unicode MS"/>
              <w:color w:val="000000" w:themeColor="text1"/>
              <w:szCs w:val="18"/>
            </w:rPr>
          </w:pPr>
          <w:r w:rsidRPr="00127AA1">
            <w:rPr>
              <w:color w:val="000000" w:themeColor="text1"/>
              <w:szCs w:val="18"/>
              <w:rtl w:val="0"/>
            </w:rPr>
            <w:t>Critical Infrastructure Security and Resilience (CISR) v</w:t>
          </w:r>
          <w:r w:rsidRPr="00127AA1">
            <w:rPr>
              <w:rStyle w:val="PlaceholderText"/>
              <w:color w:val="000000" w:themeColor="text1"/>
              <w:szCs w:val="18"/>
              <w:rtl w:val="0"/>
            </w:rPr>
            <w:t>4.00</w:t>
          </w:r>
        </w:p>
      </w:tc>
      <w:tc>
        <w:tcPr>
          <w:tcW w:w="1260" w:type="dxa"/>
          <w:shd w:val="clear" w:color="auto" w:fill="auto"/>
        </w:tcPr>
        <w:p w14:paraId="7F9379FB" w14:textId="0ECCD2C4" w:rsidR="00C305B2" w:rsidRPr="00127AA1" w:rsidRDefault="00C305B2" w:rsidP="00127AA1">
          <w:pPr>
            <w:pStyle w:val="ATAFooter"/>
            <w:bidi w:val="0"/>
            <w:jc w:val="right"/>
            <w:rPr>
              <w:szCs w:val="18"/>
            </w:rPr>
          </w:pPr>
          <w:r w:rsidRPr="00127AA1">
            <w:rPr>
              <w:rStyle w:val="ATAFooterChar"/>
              <w:szCs w:val="18"/>
              <w:rtl w:val="0"/>
            </w:rPr>
            <w:t xml:space="preserve">Page </w:t>
          </w:r>
          <w:r w:rsidRPr="00127AA1">
            <w:rPr>
              <w:rStyle w:val="ATAFooterChar"/>
              <w:rFonts w:eastAsia="Arial Unicode MS"/>
              <w:szCs w:val="18"/>
            </w:rPr>
            <w:fldChar w:fldCharType="begin"/>
          </w:r>
          <w:r w:rsidRPr="00127AA1">
            <w:rPr>
              <w:rStyle w:val="ATAFooterChar"/>
              <w:rFonts w:eastAsia="Arial Unicode MS"/>
              <w:szCs w:val="18"/>
            </w:rPr>
            <w:instrText xml:space="preserve"> PAGE </w:instrText>
          </w:r>
          <w:r w:rsidRPr="00127AA1">
            <w:rPr>
              <w:rStyle w:val="ATAFooterChar"/>
              <w:rFonts w:eastAsia="Arial Unicode MS"/>
              <w:szCs w:val="18"/>
            </w:rPr>
            <w:fldChar w:fldCharType="separate"/>
          </w:r>
          <w:r w:rsidR="000D4EEC">
            <w:rPr>
              <w:rStyle w:val="ATAFooterChar"/>
              <w:rFonts w:eastAsia="Arial Unicode MS"/>
              <w:noProof/>
              <w:szCs w:val="18"/>
            </w:rPr>
            <w:t>1</w:t>
          </w:r>
          <w:r w:rsidRPr="00127AA1">
            <w:rPr>
              <w:rStyle w:val="ATAFooterChar"/>
              <w:rFonts w:eastAsia="Arial Unicode MS"/>
              <w:szCs w:val="18"/>
            </w:rPr>
            <w:fldChar w:fldCharType="end"/>
          </w:r>
          <w:r w:rsidRPr="00127AA1">
            <w:rPr>
              <w:rStyle w:val="ATAFooterChar"/>
              <w:szCs w:val="18"/>
              <w:rtl w:val="0"/>
            </w:rPr>
            <w:t xml:space="preserve"> of</w:t>
          </w:r>
          <w:r w:rsidR="00127AA1">
            <w:rPr>
              <w:rStyle w:val="ATAFooterChar"/>
              <w:szCs w:val="18"/>
              <w:rtl w:val="0"/>
            </w:rPr>
            <w:t xml:space="preserve"> </w:t>
          </w:r>
          <w:r w:rsidRPr="00127AA1">
            <w:rPr>
              <w:rStyle w:val="ATAFooterChar"/>
              <w:szCs w:val="18"/>
            </w:rPr>
            <w:t xml:space="preserve"> </w:t>
          </w:r>
          <w:r w:rsidRPr="00127AA1">
            <w:rPr>
              <w:rStyle w:val="ATAFooterChar"/>
              <w:rFonts w:eastAsia="Arial Unicode MS"/>
              <w:szCs w:val="18"/>
            </w:rPr>
            <w:fldChar w:fldCharType="begin"/>
          </w:r>
          <w:r w:rsidRPr="00127AA1">
            <w:rPr>
              <w:rStyle w:val="ATAFooterChar"/>
              <w:rFonts w:eastAsia="Arial Unicode MS"/>
              <w:szCs w:val="18"/>
            </w:rPr>
            <w:instrText xml:space="preserve"> NUMPAGES  \# "0"  \* MERGEFORMAT </w:instrText>
          </w:r>
          <w:r w:rsidRPr="00127AA1">
            <w:rPr>
              <w:rStyle w:val="ATAFooterChar"/>
              <w:rFonts w:eastAsia="Arial Unicode MS"/>
              <w:szCs w:val="18"/>
            </w:rPr>
            <w:fldChar w:fldCharType="separate"/>
          </w:r>
          <w:r w:rsidR="000D4EEC">
            <w:rPr>
              <w:rStyle w:val="ATAFooterChar"/>
              <w:rFonts w:eastAsia="Arial Unicode MS"/>
              <w:noProof/>
              <w:szCs w:val="18"/>
            </w:rPr>
            <w:t>6</w:t>
          </w:r>
          <w:r w:rsidRPr="00127AA1">
            <w:rPr>
              <w:rStyle w:val="ATAFooterChar"/>
              <w:rFonts w:eastAsia="Arial Unicode MS"/>
              <w:szCs w:val="18"/>
            </w:rPr>
            <w:fldChar w:fldCharType="end"/>
          </w:r>
        </w:p>
      </w:tc>
    </w:tr>
  </w:tbl>
  <w:p w14:paraId="7F9379FD"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0593A" w14:textId="77777777" w:rsidR="002B24FE" w:rsidRDefault="002B24FE" w:rsidP="00C82114">
      <w:r>
        <w:separator/>
      </w:r>
    </w:p>
  </w:footnote>
  <w:footnote w:type="continuationSeparator" w:id="0">
    <w:p w14:paraId="1D0104C0" w14:textId="77777777" w:rsidR="002B24FE" w:rsidRDefault="002B24FE"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9"/>
      <w:gridCol w:w="4681"/>
    </w:tblGrid>
    <w:tr w:rsidR="008564F0" w:rsidRPr="00456B51" w14:paraId="7F9379F8" w14:textId="77777777" w:rsidTr="00127AA1">
      <w:tc>
        <w:tcPr>
          <w:tcW w:w="4788" w:type="dxa"/>
          <w:shd w:val="clear" w:color="auto" w:fill="auto"/>
          <w:vAlign w:val="bottom"/>
        </w:tcPr>
        <w:p w14:paraId="7F9379F6" w14:textId="3EDD7ED4" w:rsidR="008564F0" w:rsidRPr="00456B51" w:rsidRDefault="00DD597E" w:rsidP="00127AA1">
          <w:pPr>
            <w:pStyle w:val="ATAHeader"/>
            <w:bidi w:val="0"/>
          </w:pPr>
          <w:r>
            <w:rPr>
              <w:rtl w:val="0"/>
            </w:rPr>
            <w:t>Module 8: Surveillance Awareness: What You Can Do</w:t>
          </w:r>
        </w:p>
      </w:tc>
      <w:tc>
        <w:tcPr>
          <w:tcW w:w="4788" w:type="dxa"/>
          <w:shd w:val="clear" w:color="auto" w:fill="auto"/>
          <w:vAlign w:val="bottom"/>
        </w:tcPr>
        <w:p w14:paraId="7F9379F7" w14:textId="50245BA9" w:rsidR="008564F0" w:rsidRPr="00456B51" w:rsidRDefault="0076644A" w:rsidP="00127AA1">
          <w:pPr>
            <w:pStyle w:val="ATAHeader"/>
            <w:bidi w:val="0"/>
            <w:jc w:val="right"/>
          </w:pPr>
          <w:r>
            <w:rPr>
              <w:rtl w:val="0"/>
            </w:rPr>
            <w:t>Workbook</w:t>
          </w:r>
          <w:r w:rsidR="003174A2">
            <w:rPr>
              <w:rtl w:val="0"/>
            </w:rPr>
            <w:t xml:space="preserve"> 8.1: Critical Infrastructure as Targets</w:t>
          </w:r>
        </w:p>
      </w:tc>
    </w:tr>
  </w:tbl>
  <w:p w14:paraId="7F9379F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B5E0B17"/>
    <w:multiLevelType w:val="hybridMultilevel"/>
    <w:tmpl w:val="502E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18"/>
  </w:num>
  <w:num w:numId="15">
    <w:abstractNumId w:val="11"/>
  </w:num>
  <w:num w:numId="16">
    <w:abstractNumId w:val="19"/>
  </w:num>
  <w:num w:numId="17">
    <w:abstractNumId w:val="19"/>
    <w:lvlOverride w:ilvl="0">
      <w:startOverride w:val="1"/>
    </w:lvlOverride>
  </w:num>
  <w:num w:numId="18">
    <w:abstractNumId w:val="18"/>
  </w:num>
  <w:num w:numId="19">
    <w:abstractNumId w:val="2"/>
  </w:num>
  <w:num w:numId="20">
    <w:abstractNumId w:val="19"/>
  </w:num>
  <w:num w:numId="21">
    <w:abstractNumId w:val="1"/>
  </w:num>
  <w:num w:numId="22">
    <w:abstractNumId w:val="13"/>
  </w:num>
  <w:num w:numId="23">
    <w:abstractNumId w:val="16"/>
  </w:num>
  <w:num w:numId="24">
    <w:abstractNumId w:val="12"/>
  </w:num>
  <w:num w:numId="25">
    <w:abstractNumId w:val="17"/>
  </w:num>
  <w:num w:numId="2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2279"/>
    <w:rsid w:val="00063648"/>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4EEC"/>
    <w:rsid w:val="000D6923"/>
    <w:rsid w:val="000E053F"/>
    <w:rsid w:val="000E50CD"/>
    <w:rsid w:val="000F784C"/>
    <w:rsid w:val="001042E5"/>
    <w:rsid w:val="001063E0"/>
    <w:rsid w:val="0011012D"/>
    <w:rsid w:val="0011397E"/>
    <w:rsid w:val="001142A3"/>
    <w:rsid w:val="001161F1"/>
    <w:rsid w:val="00117566"/>
    <w:rsid w:val="001211DF"/>
    <w:rsid w:val="0012472D"/>
    <w:rsid w:val="00124ABF"/>
    <w:rsid w:val="00124F0D"/>
    <w:rsid w:val="001259FD"/>
    <w:rsid w:val="00127AA1"/>
    <w:rsid w:val="0013230A"/>
    <w:rsid w:val="00132CA1"/>
    <w:rsid w:val="00134898"/>
    <w:rsid w:val="00140812"/>
    <w:rsid w:val="00142254"/>
    <w:rsid w:val="00143EDD"/>
    <w:rsid w:val="001449E0"/>
    <w:rsid w:val="00145378"/>
    <w:rsid w:val="00146548"/>
    <w:rsid w:val="0014669F"/>
    <w:rsid w:val="001473D0"/>
    <w:rsid w:val="0015025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867FD"/>
    <w:rsid w:val="00291A04"/>
    <w:rsid w:val="0029575D"/>
    <w:rsid w:val="00296513"/>
    <w:rsid w:val="00296BBB"/>
    <w:rsid w:val="002A0962"/>
    <w:rsid w:val="002A1B61"/>
    <w:rsid w:val="002A2685"/>
    <w:rsid w:val="002A4028"/>
    <w:rsid w:val="002A7E7C"/>
    <w:rsid w:val="002B17F0"/>
    <w:rsid w:val="002B24FE"/>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174A2"/>
    <w:rsid w:val="00324284"/>
    <w:rsid w:val="00327D9F"/>
    <w:rsid w:val="0033389E"/>
    <w:rsid w:val="003346A0"/>
    <w:rsid w:val="00334CC0"/>
    <w:rsid w:val="0034112C"/>
    <w:rsid w:val="0034270A"/>
    <w:rsid w:val="0034539C"/>
    <w:rsid w:val="003465C1"/>
    <w:rsid w:val="00346BDB"/>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6EA5"/>
    <w:rsid w:val="003D2245"/>
    <w:rsid w:val="003D26E2"/>
    <w:rsid w:val="003D3575"/>
    <w:rsid w:val="003D4B7A"/>
    <w:rsid w:val="003D63FE"/>
    <w:rsid w:val="003E08F5"/>
    <w:rsid w:val="003E2EF6"/>
    <w:rsid w:val="003E319D"/>
    <w:rsid w:val="003E4791"/>
    <w:rsid w:val="003E5949"/>
    <w:rsid w:val="003E744A"/>
    <w:rsid w:val="003F0758"/>
    <w:rsid w:val="003F0A58"/>
    <w:rsid w:val="003F3838"/>
    <w:rsid w:val="003F3D61"/>
    <w:rsid w:val="003F56B6"/>
    <w:rsid w:val="003F574D"/>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6C7B"/>
    <w:rsid w:val="004179BA"/>
    <w:rsid w:val="00420678"/>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14DC"/>
    <w:rsid w:val="005120E9"/>
    <w:rsid w:val="005121A3"/>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1561"/>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5C2"/>
    <w:rsid w:val="00707C56"/>
    <w:rsid w:val="00710B1A"/>
    <w:rsid w:val="007119DA"/>
    <w:rsid w:val="00712CD1"/>
    <w:rsid w:val="00714CEE"/>
    <w:rsid w:val="007176B3"/>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644A"/>
    <w:rsid w:val="0077146C"/>
    <w:rsid w:val="00772F27"/>
    <w:rsid w:val="00775D9C"/>
    <w:rsid w:val="00776B60"/>
    <w:rsid w:val="00777CBB"/>
    <w:rsid w:val="0078089D"/>
    <w:rsid w:val="007813A9"/>
    <w:rsid w:val="00782330"/>
    <w:rsid w:val="00784608"/>
    <w:rsid w:val="00785934"/>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130D"/>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54F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3B37"/>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05439"/>
    <w:rsid w:val="00910FAB"/>
    <w:rsid w:val="009140B2"/>
    <w:rsid w:val="00917AA4"/>
    <w:rsid w:val="00920C1C"/>
    <w:rsid w:val="00925E90"/>
    <w:rsid w:val="009263DF"/>
    <w:rsid w:val="0092682C"/>
    <w:rsid w:val="00926A1B"/>
    <w:rsid w:val="00934215"/>
    <w:rsid w:val="009370AB"/>
    <w:rsid w:val="00940F5E"/>
    <w:rsid w:val="00941689"/>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5B4F"/>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078B0"/>
    <w:rsid w:val="00A15065"/>
    <w:rsid w:val="00A16C4E"/>
    <w:rsid w:val="00A33709"/>
    <w:rsid w:val="00A36A2B"/>
    <w:rsid w:val="00A4149B"/>
    <w:rsid w:val="00A42BAF"/>
    <w:rsid w:val="00A465D6"/>
    <w:rsid w:val="00A53DD6"/>
    <w:rsid w:val="00A548A2"/>
    <w:rsid w:val="00A56C2F"/>
    <w:rsid w:val="00A60854"/>
    <w:rsid w:val="00A60CD8"/>
    <w:rsid w:val="00A614E1"/>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5E03"/>
    <w:rsid w:val="00AA65C4"/>
    <w:rsid w:val="00AB24FA"/>
    <w:rsid w:val="00AB2D94"/>
    <w:rsid w:val="00AB5D90"/>
    <w:rsid w:val="00AC20B1"/>
    <w:rsid w:val="00AD2FE1"/>
    <w:rsid w:val="00AD33B9"/>
    <w:rsid w:val="00AD4D46"/>
    <w:rsid w:val="00AD4EEC"/>
    <w:rsid w:val="00AE2655"/>
    <w:rsid w:val="00AE7D14"/>
    <w:rsid w:val="00AE7E38"/>
    <w:rsid w:val="00AF1D7A"/>
    <w:rsid w:val="00B030A0"/>
    <w:rsid w:val="00B033A1"/>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360"/>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4DE2"/>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0442"/>
    <w:rsid w:val="00C217E4"/>
    <w:rsid w:val="00C24DA7"/>
    <w:rsid w:val="00C2563D"/>
    <w:rsid w:val="00C305B2"/>
    <w:rsid w:val="00C340BA"/>
    <w:rsid w:val="00C34232"/>
    <w:rsid w:val="00C34A31"/>
    <w:rsid w:val="00C404DE"/>
    <w:rsid w:val="00C43112"/>
    <w:rsid w:val="00C4724E"/>
    <w:rsid w:val="00C472A0"/>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5E85"/>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D0A5B"/>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141F"/>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4003"/>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597E"/>
    <w:rsid w:val="00DE23A7"/>
    <w:rsid w:val="00DE3469"/>
    <w:rsid w:val="00DE5A2F"/>
    <w:rsid w:val="00DE79A8"/>
    <w:rsid w:val="00DF089E"/>
    <w:rsid w:val="00DF2DB3"/>
    <w:rsid w:val="00DF3A45"/>
    <w:rsid w:val="00DF3D63"/>
    <w:rsid w:val="00DF40DE"/>
    <w:rsid w:val="00DF58FF"/>
    <w:rsid w:val="00DF6DE3"/>
    <w:rsid w:val="00DF6F84"/>
    <w:rsid w:val="00DF7A26"/>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049A"/>
    <w:rsid w:val="00E50AE6"/>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1DD"/>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7BC"/>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locked/>
    <w:rsid w:val="0011012D"/>
    <w:pPr>
      <w:ind w:left="720"/>
      <w:contextualSpacing/>
    </w:pPr>
  </w:style>
  <w:style w:type="paragraph" w:customStyle="1" w:styleId="ATATableHeading">
    <w:name w:val="ATA Table Heading"/>
    <w:next w:val="ATABody"/>
    <w:link w:val="ATATableHeadingChar"/>
    <w:uiPriority w:val="34"/>
    <w:qFormat/>
    <w:rsid w:val="00F837BC"/>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837BC"/>
    <w:rPr>
      <w:rFonts w:ascii="Cambria" w:hAnsi="Cambria"/>
      <w:color w:val="262626" w:themeColor="text1" w:themeTint="D9"/>
      <w:sz w:val="24"/>
      <w:szCs w:val="24"/>
    </w:rPr>
  </w:style>
  <w:style w:type="paragraph" w:customStyle="1" w:styleId="ATATableBody">
    <w:name w:val="ATA Table Body"/>
    <w:link w:val="ATATableBodyChar"/>
    <w:uiPriority w:val="34"/>
    <w:rsid w:val="00F837BC"/>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837BC"/>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locked/>
    <w:rsid w:val="0011012D"/>
    <w:pPr>
      <w:ind w:left="720"/>
      <w:contextualSpacing/>
    </w:pPr>
  </w:style>
  <w:style w:type="paragraph" w:customStyle="1" w:styleId="ATATableHeading">
    <w:name w:val="ATA Table Heading"/>
    <w:next w:val="ATABody"/>
    <w:link w:val="ATATableHeadingChar"/>
    <w:uiPriority w:val="34"/>
    <w:qFormat/>
    <w:rsid w:val="00F837BC"/>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837BC"/>
    <w:rPr>
      <w:rFonts w:ascii="Cambria" w:hAnsi="Cambria"/>
      <w:color w:val="262626" w:themeColor="text1" w:themeTint="D9"/>
      <w:sz w:val="24"/>
      <w:szCs w:val="24"/>
    </w:rPr>
  </w:style>
  <w:style w:type="paragraph" w:customStyle="1" w:styleId="ATATableBody">
    <w:name w:val="ATA Table Body"/>
    <w:link w:val="ATATableBodyChar"/>
    <w:uiPriority w:val="34"/>
    <w:rsid w:val="00F837BC"/>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837BC"/>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F7A4B5B-E720-4EF9-9432-89BA11AF1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Module 8: Surveillance Awareness: What You Can Do</vt:lpstr>
    </vt:vector>
  </TitlesOfParts>
  <Company>Office of Antiterrorism Assistance</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8: Surveillance Awareness: What You Can Do</dc:title>
  <dc:subject>Critical Infrastructure Security and Resilience (CISR)</dc:subject>
  <dc:creator>ATA</dc:creator>
  <cp:lastModifiedBy>RobinsKL</cp:lastModifiedBy>
  <cp:revision>3</cp:revision>
  <cp:lastPrinted>2013-12-04T12:49:00Z</cp:lastPrinted>
  <dcterms:created xsi:type="dcterms:W3CDTF">2017-10-20T18:38:00Z</dcterms:created>
  <dcterms:modified xsi:type="dcterms:W3CDTF">2017-10-20T19:02:00Z</dcterms:modified>
  <cp:category>Addendum 8.1: Critical Infrastructure as Targets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