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9379D5" w14:textId="5ECC98FE" w:rsidR="00EE7DFC" w:rsidRPr="00EB352A" w:rsidRDefault="009D0196" w:rsidP="00E80349">
      <w:pPr>
        <w:pStyle w:val="ATAModuleTitle"/>
        <w:rPr>
          <w:b w:val="0"/>
          <w:bCs/>
          <w:sz w:val="28"/>
          <w:szCs w:val="28"/>
        </w:rPr>
      </w:pPr>
      <w:bookmarkStart w:id="0" w:name="_GoBack"/>
      <w:r>
        <w:rPr>
          <w:noProof/>
        </w:rPr>
        <w:drawing>
          <wp:anchor distT="0" distB="0" distL="114300" distR="114300" simplePos="0" relativeHeight="251658240" behindDoc="0" locked="0" layoutInCell="1" allowOverlap="1" wp14:anchorId="5FA1C472" wp14:editId="6A16319F">
            <wp:simplePos x="0" y="0"/>
            <wp:positionH relativeFrom="column">
              <wp:posOffset>5680075</wp:posOffset>
            </wp:positionH>
            <wp:positionV relativeFrom="paragraph">
              <wp:posOffset>-21590</wp:posOffset>
            </wp:positionV>
            <wp:extent cx="271780" cy="2743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sidR="008E2947" w:rsidRPr="008E2947">
        <w:rPr>
          <w:b w:val="0"/>
          <w:bCs/>
          <w:sz w:val="28"/>
          <w:szCs w:val="28"/>
          <w:cs/>
          <w:lang w:bidi="ar-SA"/>
        </w:rPr>
        <w:t>الكتيب</w:t>
      </w:r>
      <w:r w:rsidR="008E2947" w:rsidRPr="008E2947">
        <w:rPr>
          <w:bCs/>
          <w:sz w:val="28"/>
          <w:szCs w:val="28"/>
        </w:rPr>
        <w:t xml:space="preserve"> </w:t>
      </w:r>
      <w:r w:rsidR="006B2C72" w:rsidRPr="00EB352A">
        <w:rPr>
          <w:b w:val="0"/>
          <w:bCs/>
          <w:sz w:val="28"/>
          <w:szCs w:val="28"/>
        </w:rPr>
        <w:t>8.2: المؤشرات الدالة على نشاط المراقبة المعادية</w:t>
      </w:r>
    </w:p>
    <w:tbl>
      <w:tblPr>
        <w:bidiVisual/>
        <w:tblW w:w="5000" w:type="pct"/>
        <w:tblCellMar>
          <w:left w:w="0" w:type="dxa"/>
          <w:right w:w="0" w:type="dxa"/>
        </w:tblCellMar>
        <w:tblLook w:val="04A0" w:firstRow="1" w:lastRow="0" w:firstColumn="1" w:lastColumn="0" w:noHBand="0" w:noVBand="1"/>
      </w:tblPr>
      <w:tblGrid>
        <w:gridCol w:w="2808"/>
        <w:gridCol w:w="6552"/>
      </w:tblGrid>
      <w:tr w:rsidR="002B3D5A" w:rsidRPr="00EB352A" w14:paraId="7F9379D8" w14:textId="77777777" w:rsidTr="002B3D5A">
        <w:trPr>
          <w:cantSplit/>
        </w:trPr>
        <w:tc>
          <w:tcPr>
            <w:tcW w:w="1500" w:type="pct"/>
            <w:hideMark/>
          </w:tcPr>
          <w:p w14:paraId="7F9379D6" w14:textId="5AFE09D8" w:rsidR="002B3D5A" w:rsidRPr="00EB352A" w:rsidRDefault="002B3D5A">
            <w:pPr>
              <w:pStyle w:val="ATABody"/>
              <w:rPr>
                <w:b/>
                <w:sz w:val="28"/>
                <w:szCs w:val="28"/>
              </w:rPr>
            </w:pPr>
            <w:r w:rsidRPr="00EB352A">
              <w:rPr>
                <w:bCs/>
                <w:sz w:val="28"/>
                <w:szCs w:val="28"/>
              </w:rPr>
              <w:t>الغرض</w:t>
            </w:r>
            <w:r w:rsidRPr="00EB352A">
              <w:rPr>
                <w:b/>
                <w:sz w:val="28"/>
                <w:szCs w:val="28"/>
              </w:rPr>
              <w:t>:</w:t>
            </w:r>
          </w:p>
        </w:tc>
        <w:tc>
          <w:tcPr>
            <w:tcW w:w="3500" w:type="pct"/>
            <w:hideMark/>
          </w:tcPr>
          <w:p w14:paraId="7F9379D7" w14:textId="756383D9" w:rsidR="002B3D5A" w:rsidRPr="00EB352A" w:rsidRDefault="000115C4" w:rsidP="008F6238">
            <w:pPr>
              <w:pStyle w:val="ATABody"/>
              <w:rPr>
                <w:b/>
                <w:sz w:val="28"/>
                <w:szCs w:val="28"/>
              </w:rPr>
            </w:pPr>
            <w:r w:rsidRPr="00EB352A">
              <w:rPr>
                <w:b/>
                <w:sz w:val="28"/>
                <w:szCs w:val="28"/>
              </w:rPr>
              <w:t>تقديم أمثلة على المؤشرات النمطية للمراقبة المعادية</w:t>
            </w:r>
          </w:p>
        </w:tc>
      </w:tr>
    </w:tbl>
    <w:p w14:paraId="7F9379D9" w14:textId="77777777" w:rsidR="002B3D5A" w:rsidRPr="00EB352A" w:rsidRDefault="002B3D5A" w:rsidP="002B3D5A">
      <w:pPr>
        <w:rPr>
          <w:rFonts w:ascii="Cambria" w:hAnsi="Cambria" w:cs="Arial"/>
          <w:b/>
          <w:sz w:val="28"/>
          <w:szCs w:val="28"/>
        </w:rPr>
      </w:pPr>
    </w:p>
    <w:p w14:paraId="30223675" w14:textId="312F87F9" w:rsidR="00565D41" w:rsidRPr="00EB352A" w:rsidRDefault="00565D41" w:rsidP="00565D41">
      <w:pPr>
        <w:pStyle w:val="ATABody"/>
        <w:rPr>
          <w:b/>
          <w:sz w:val="28"/>
          <w:szCs w:val="28"/>
        </w:rPr>
      </w:pPr>
      <w:r w:rsidRPr="00EB352A">
        <w:rPr>
          <w:b/>
          <w:sz w:val="28"/>
          <w:szCs w:val="28"/>
        </w:rPr>
        <w:t xml:space="preserve">يتعين عليك، كضابط إنفاذ القانون، أو عضو بالمجتمع، أو موظف في منشآت البنية الأساسية الحرجة، أو فرد أمن، دائماً أن تكون يقظاً وعلى وعي دائب بمؤشرات المراقبة المعادية ضد الأهداف المحتملة. للتفرقة بين السلوك الطبيعي والتصرفات الشاذة يجب أن تكون على دراية بطبيعة الأنشطة العادية والروتينية في منطقة نفوذك، بعد ذلك تكون في حالة تأهب واستعداد لرصد أية أفعال أو سمات لا تتفق من الأنماط المعتادة أو تثير الشبهة. </w:t>
      </w:r>
    </w:p>
    <w:p w14:paraId="2B8FF900" w14:textId="77777777" w:rsidR="00565D41" w:rsidRPr="00EB352A" w:rsidRDefault="00565D41" w:rsidP="00565D41">
      <w:pPr>
        <w:pStyle w:val="ATABody"/>
        <w:rPr>
          <w:b/>
          <w:sz w:val="28"/>
          <w:szCs w:val="28"/>
        </w:rPr>
      </w:pPr>
    </w:p>
    <w:p w14:paraId="4D504E50" w14:textId="52CE5382" w:rsidR="00565D41" w:rsidRPr="00EB352A" w:rsidRDefault="00565D41" w:rsidP="00565D41">
      <w:pPr>
        <w:pStyle w:val="ATABody"/>
        <w:rPr>
          <w:b/>
          <w:sz w:val="28"/>
          <w:szCs w:val="28"/>
        </w:rPr>
      </w:pPr>
      <w:r w:rsidRPr="00EB352A">
        <w:rPr>
          <w:b/>
          <w:sz w:val="28"/>
          <w:szCs w:val="28"/>
        </w:rPr>
        <w:t xml:space="preserve">ويتعين القيام بملاحظة مناطق معينة بانتظام وبطريقة منهجية من أجل تحديد الأشخاص أو الأنشطة التي لا تتوافق مع البيئة المحيطة والسلوكيات المتوقعة. إذا وُجِدتْ فعلى فريق كشف الرصد توثيق كل هذه المؤشرات والإبلاغ عنها. </w:t>
      </w:r>
    </w:p>
    <w:p w14:paraId="1CD940AF" w14:textId="77777777" w:rsidR="00565D41" w:rsidRPr="00EB352A" w:rsidRDefault="00565D41" w:rsidP="00565D41">
      <w:pPr>
        <w:pStyle w:val="ATABody"/>
        <w:rPr>
          <w:b/>
          <w:sz w:val="28"/>
          <w:szCs w:val="28"/>
        </w:rPr>
      </w:pPr>
    </w:p>
    <w:p w14:paraId="7F9379DB" w14:textId="6C4041F7" w:rsidR="00C305B2" w:rsidRPr="00EB352A" w:rsidRDefault="00565D41" w:rsidP="00565D41">
      <w:pPr>
        <w:pStyle w:val="ATABody"/>
        <w:rPr>
          <w:b/>
          <w:sz w:val="28"/>
          <w:szCs w:val="28"/>
        </w:rPr>
      </w:pPr>
      <w:r w:rsidRPr="00EB352A">
        <w:rPr>
          <w:b/>
          <w:sz w:val="28"/>
          <w:szCs w:val="28"/>
        </w:rPr>
        <w:t>القائمة التالية تقدم المؤشرات التقليدية عن أنشطة المراقبة المعادية لكل من العناصر والمركبات.</w:t>
      </w:r>
    </w:p>
    <w:p w14:paraId="059EE455" w14:textId="7CF410B8" w:rsidR="00565D41" w:rsidRPr="00EB352A" w:rsidRDefault="00565D41" w:rsidP="00565D41">
      <w:pPr>
        <w:pStyle w:val="ATABody"/>
        <w:rPr>
          <w:b/>
          <w:sz w:val="28"/>
          <w:szCs w:val="28"/>
        </w:rPr>
      </w:pPr>
      <w:r w:rsidRPr="00EB352A">
        <w:rPr>
          <w:b/>
          <w:sz w:val="28"/>
          <w:szCs w:val="28"/>
        </w:rPr>
        <w:t xml:space="preserve"> </w:t>
      </w:r>
    </w:p>
    <w:tbl>
      <w:tblPr>
        <w:tblStyle w:val="TableGrid"/>
        <w:bidiVisual/>
        <w:tblW w:w="0" w:type="auto"/>
        <w:tblLook w:val="04A0" w:firstRow="1" w:lastRow="0" w:firstColumn="1" w:lastColumn="0" w:noHBand="0" w:noVBand="1"/>
      </w:tblPr>
      <w:tblGrid>
        <w:gridCol w:w="9576"/>
      </w:tblGrid>
      <w:tr w:rsidR="00565D41" w:rsidRPr="00EB352A" w14:paraId="774E0C22" w14:textId="77777777" w:rsidTr="00C6443C">
        <w:trPr>
          <w:tblHeader/>
        </w:trPr>
        <w:tc>
          <w:tcPr>
            <w:tcW w:w="9576" w:type="dxa"/>
            <w:tcBorders>
              <w:top w:val="single" w:sz="4" w:space="0" w:color="000000" w:themeColor="text1"/>
            </w:tcBorders>
            <w:shd w:val="clear" w:color="auto" w:fill="D9D9D9" w:themeFill="background1" w:themeFillShade="D9"/>
          </w:tcPr>
          <w:p w14:paraId="4165BE9B" w14:textId="782F92EB" w:rsidR="00565D41" w:rsidRPr="00EB352A" w:rsidRDefault="00565D41" w:rsidP="00246CBD">
            <w:pPr>
              <w:pStyle w:val="ATATableHeading"/>
              <w:rPr>
                <w:bCs/>
                <w:sz w:val="28"/>
                <w:szCs w:val="28"/>
              </w:rPr>
            </w:pPr>
            <w:r w:rsidRPr="00EB352A">
              <w:rPr>
                <w:bCs/>
                <w:sz w:val="28"/>
                <w:szCs w:val="28"/>
              </w:rPr>
              <w:t>الأفراد (المراقبة المعادية)</w:t>
            </w:r>
          </w:p>
        </w:tc>
      </w:tr>
      <w:tr w:rsidR="00565D41" w:rsidRPr="00EB352A" w14:paraId="5E5FC93B" w14:textId="77777777" w:rsidTr="00C6443C">
        <w:tc>
          <w:tcPr>
            <w:tcW w:w="9576" w:type="dxa"/>
          </w:tcPr>
          <w:p w14:paraId="08346DAA" w14:textId="77777777" w:rsidR="00565D41" w:rsidRPr="00EB352A" w:rsidRDefault="00565D41" w:rsidP="00246CBD">
            <w:pPr>
              <w:pStyle w:val="ATABulletLevel01BodySlide"/>
              <w:rPr>
                <w:b/>
                <w:bCs w:val="0"/>
                <w:sz w:val="28"/>
                <w:szCs w:val="28"/>
              </w:rPr>
            </w:pPr>
            <w:r w:rsidRPr="00EB352A">
              <w:rPr>
                <w:b/>
                <w:bCs w:val="0"/>
                <w:sz w:val="28"/>
                <w:szCs w:val="28"/>
              </w:rPr>
              <w:t>ملاحظة نفس الشخص المثير للشبهة أو نفس النشاط عدة مرات عبر الزمن أو المسافة أو الاتجاه.</w:t>
            </w:r>
          </w:p>
        </w:tc>
      </w:tr>
      <w:tr w:rsidR="00565D41" w:rsidRPr="00EB352A" w14:paraId="7226099B" w14:textId="77777777" w:rsidTr="00C6443C">
        <w:tc>
          <w:tcPr>
            <w:tcW w:w="9576" w:type="dxa"/>
          </w:tcPr>
          <w:p w14:paraId="1BB7B84C" w14:textId="77777777" w:rsidR="00565D41" w:rsidRPr="00EB352A" w:rsidRDefault="00565D41" w:rsidP="00246CBD">
            <w:pPr>
              <w:pStyle w:val="ATABulletLevel01BodySlide"/>
              <w:rPr>
                <w:b/>
                <w:bCs w:val="0"/>
                <w:sz w:val="28"/>
                <w:szCs w:val="28"/>
              </w:rPr>
            </w:pPr>
            <w:r w:rsidRPr="00EB352A">
              <w:rPr>
                <w:b/>
                <w:bCs w:val="0"/>
                <w:sz w:val="28"/>
                <w:szCs w:val="28"/>
              </w:rPr>
              <w:t>الأشخاص لا يتماشون مع بيئة المحيط لأنهم يرتدون ملابس لا تتوافق مع الموقع أو الموسم</w:t>
            </w:r>
          </w:p>
        </w:tc>
      </w:tr>
      <w:tr w:rsidR="00565D41" w:rsidRPr="00EB352A" w14:paraId="43E8F071" w14:textId="77777777" w:rsidTr="00C6443C">
        <w:tc>
          <w:tcPr>
            <w:tcW w:w="9576" w:type="dxa"/>
          </w:tcPr>
          <w:p w14:paraId="384B82E2" w14:textId="77777777" w:rsidR="00565D41" w:rsidRPr="00EB352A" w:rsidRDefault="00565D41" w:rsidP="00246CBD">
            <w:pPr>
              <w:pStyle w:val="ATABulletLevel01BodySlide"/>
              <w:rPr>
                <w:b/>
                <w:bCs w:val="0"/>
                <w:sz w:val="28"/>
                <w:szCs w:val="28"/>
              </w:rPr>
            </w:pPr>
            <w:r w:rsidRPr="00EB352A">
              <w:rPr>
                <w:b/>
                <w:bCs w:val="0"/>
                <w:sz w:val="28"/>
                <w:szCs w:val="28"/>
              </w:rPr>
              <w:t>أشخاص يُشاهَدون عدة مرات في نفس الموقع في عدة مناسبات؛ أشخاص يجلسون في سيارة واقفة لفترات طويلة</w:t>
            </w:r>
          </w:p>
        </w:tc>
      </w:tr>
      <w:tr w:rsidR="00565D41" w:rsidRPr="00EB352A" w14:paraId="3CA82A49" w14:textId="77777777" w:rsidTr="00C6443C">
        <w:tc>
          <w:tcPr>
            <w:tcW w:w="9576" w:type="dxa"/>
          </w:tcPr>
          <w:p w14:paraId="5A5CFECF" w14:textId="77777777" w:rsidR="00565D41" w:rsidRPr="00EB352A" w:rsidRDefault="00565D41" w:rsidP="00246CBD">
            <w:pPr>
              <w:pStyle w:val="ATABulletLevel01BodySlide"/>
              <w:rPr>
                <w:b/>
                <w:bCs w:val="0"/>
                <w:sz w:val="28"/>
                <w:szCs w:val="28"/>
              </w:rPr>
            </w:pPr>
            <w:r w:rsidRPr="00EB352A">
              <w:rPr>
                <w:b/>
                <w:bCs w:val="0"/>
                <w:sz w:val="28"/>
                <w:szCs w:val="28"/>
              </w:rPr>
              <w:t>أشخاص يخرجون من المركبات بأساليب غير طبيعية</w:t>
            </w:r>
          </w:p>
        </w:tc>
      </w:tr>
      <w:tr w:rsidR="00565D41" w:rsidRPr="00EB352A" w14:paraId="14E8F813" w14:textId="77777777" w:rsidTr="00C6443C">
        <w:tc>
          <w:tcPr>
            <w:tcW w:w="9576" w:type="dxa"/>
          </w:tcPr>
          <w:p w14:paraId="1A6AF941" w14:textId="1EE8392E" w:rsidR="00565D41" w:rsidRPr="00EB352A" w:rsidRDefault="00565D41" w:rsidP="00246CBD">
            <w:pPr>
              <w:pStyle w:val="ATABulletLevel01BodySlide"/>
              <w:rPr>
                <w:b/>
                <w:bCs w:val="0"/>
                <w:sz w:val="28"/>
                <w:szCs w:val="28"/>
              </w:rPr>
            </w:pPr>
            <w:r w:rsidRPr="00EB352A">
              <w:rPr>
                <w:b/>
                <w:bCs w:val="0"/>
                <w:sz w:val="28"/>
                <w:szCs w:val="28"/>
              </w:rPr>
              <w:t>أشخاص يستخدمون حيلا أو تنكرا محتملا لتمويه نشاطاتهم، مثل المتسول، أو المشارك في مظاهرة أو عملية احتجاج، أو عامل تنظيف الأحذية (ماسح الأحذية)، أو عامل تنظيف الشوارع، أو بائع في أكشاك الطعام أو الصحف أو الأزهار والذي لم يكن وجوده معروفا في المنطقة من قبل</w:t>
            </w:r>
          </w:p>
        </w:tc>
      </w:tr>
      <w:tr w:rsidR="00565D41" w:rsidRPr="00EB352A" w14:paraId="32BC75B1" w14:textId="77777777" w:rsidTr="00C6443C">
        <w:tc>
          <w:tcPr>
            <w:tcW w:w="9576" w:type="dxa"/>
          </w:tcPr>
          <w:p w14:paraId="4881B2FD" w14:textId="77777777" w:rsidR="00565D41" w:rsidRPr="00EB352A" w:rsidRDefault="00565D41" w:rsidP="00246CBD">
            <w:pPr>
              <w:pStyle w:val="ATABulletLevel01BodySlide"/>
              <w:rPr>
                <w:b/>
                <w:bCs w:val="0"/>
                <w:sz w:val="28"/>
                <w:szCs w:val="28"/>
              </w:rPr>
            </w:pPr>
            <w:r w:rsidRPr="00EB352A">
              <w:rPr>
                <w:b/>
                <w:bCs w:val="0"/>
                <w:sz w:val="28"/>
                <w:szCs w:val="28"/>
              </w:rPr>
              <w:t>اهتمام غير عادي أو مطول بالتدابير الأمنية، وأفراد الأمن، ونقاط الدخول ووسائل التحكم بالدخول، أو حواجز المحيط مثل السياج أو الأسوار والجدران</w:t>
            </w:r>
          </w:p>
        </w:tc>
      </w:tr>
      <w:tr w:rsidR="00565D41" w:rsidRPr="00EB352A" w14:paraId="1435510A" w14:textId="77777777" w:rsidTr="00C6443C">
        <w:tc>
          <w:tcPr>
            <w:tcW w:w="9576" w:type="dxa"/>
          </w:tcPr>
          <w:p w14:paraId="02FBE2B8" w14:textId="77777777" w:rsidR="00565D41" w:rsidRPr="00EB352A" w:rsidRDefault="00565D41" w:rsidP="00246CBD">
            <w:pPr>
              <w:pStyle w:val="ATABulletLevel01BodySlide"/>
              <w:rPr>
                <w:b/>
                <w:bCs w:val="0"/>
                <w:sz w:val="28"/>
                <w:szCs w:val="28"/>
              </w:rPr>
            </w:pPr>
            <w:r w:rsidRPr="00EB352A">
              <w:rPr>
                <w:b/>
                <w:bCs w:val="0"/>
                <w:sz w:val="28"/>
                <w:szCs w:val="28"/>
              </w:rPr>
              <w:t>زيادة في التهديدات الغفلة يتلوها وجود أفراد يراقبون تمارين أو إجراءات ردود فعل الأمن بشكل ملحوظ؛ شخص واحد أو أكثر يطرحون أسئلة على أفراد الأمن أو المنشأة</w:t>
            </w:r>
          </w:p>
        </w:tc>
      </w:tr>
      <w:tr w:rsidR="00565D41" w:rsidRPr="00EB352A" w14:paraId="32EB6C91" w14:textId="77777777" w:rsidTr="00C6443C">
        <w:tc>
          <w:tcPr>
            <w:tcW w:w="9576" w:type="dxa"/>
          </w:tcPr>
          <w:p w14:paraId="5C7295D8" w14:textId="77777777" w:rsidR="00565D41" w:rsidRPr="00EB352A" w:rsidRDefault="00565D41" w:rsidP="00246CBD">
            <w:pPr>
              <w:pStyle w:val="ATABulletLevel01BodySlide"/>
              <w:rPr>
                <w:b/>
                <w:bCs w:val="0"/>
                <w:sz w:val="28"/>
                <w:szCs w:val="28"/>
              </w:rPr>
            </w:pPr>
            <w:r w:rsidRPr="00EB352A">
              <w:rPr>
                <w:b/>
                <w:bCs w:val="0"/>
                <w:sz w:val="28"/>
                <w:szCs w:val="28"/>
              </w:rPr>
              <w:t>الأشخاص المترددين أو المتلفّتين حول أنفسهم عند دخول البناء.</w:t>
            </w:r>
          </w:p>
        </w:tc>
      </w:tr>
      <w:tr w:rsidR="00565D41" w:rsidRPr="00EB352A" w14:paraId="732E4CCC" w14:textId="77777777" w:rsidTr="00C6443C">
        <w:tc>
          <w:tcPr>
            <w:tcW w:w="9576" w:type="dxa"/>
          </w:tcPr>
          <w:p w14:paraId="0CB0BC23" w14:textId="4DE664DD" w:rsidR="00565D41" w:rsidRPr="00EB352A" w:rsidRDefault="00565D41" w:rsidP="00246CBD">
            <w:pPr>
              <w:pStyle w:val="ATABulletLevel01BodySlide"/>
              <w:rPr>
                <w:b/>
                <w:bCs w:val="0"/>
                <w:sz w:val="28"/>
                <w:szCs w:val="28"/>
              </w:rPr>
            </w:pPr>
            <w:r w:rsidRPr="00EB352A">
              <w:rPr>
                <w:b/>
                <w:bCs w:val="0"/>
                <w:sz w:val="28"/>
                <w:szCs w:val="28"/>
              </w:rPr>
              <w:t>فرق العمال (يجب تفحص السيارات والمعدات والملابس، خاصة الأحذية، بحثا عن أية ظاهرة غريبة)؛ تحقق مع الوكالة المعنية للتأكد من شرعية المشروع</w:t>
            </w:r>
          </w:p>
        </w:tc>
      </w:tr>
      <w:tr w:rsidR="00565D41" w:rsidRPr="00EB352A" w14:paraId="443F371A" w14:textId="77777777" w:rsidTr="00C6443C">
        <w:tc>
          <w:tcPr>
            <w:tcW w:w="9576" w:type="dxa"/>
          </w:tcPr>
          <w:p w14:paraId="52453641" w14:textId="1AB8533F" w:rsidR="00565D41" w:rsidRPr="00EB352A" w:rsidRDefault="00565D41" w:rsidP="00246CBD">
            <w:pPr>
              <w:pStyle w:val="ATABulletLevel01BodySlide"/>
              <w:rPr>
                <w:b/>
                <w:bCs w:val="0"/>
                <w:sz w:val="28"/>
                <w:szCs w:val="28"/>
              </w:rPr>
            </w:pPr>
            <w:r w:rsidRPr="00EB352A">
              <w:rPr>
                <w:b/>
                <w:bCs w:val="0"/>
                <w:sz w:val="28"/>
                <w:szCs w:val="28"/>
              </w:rPr>
              <w:t>أشخاص يظهرون اهتماما غير مألوف بكاميرات الأمن أو مواقع الحراس أو يلتقطون صورا لها، أو يراقبون تدريبات وإجراءات ردود الفعل الأمنية وسائر التدابير</w:t>
            </w:r>
          </w:p>
        </w:tc>
      </w:tr>
      <w:tr w:rsidR="00565D41" w:rsidRPr="00EB352A" w14:paraId="3585428C" w14:textId="77777777" w:rsidTr="00C6443C">
        <w:tc>
          <w:tcPr>
            <w:tcW w:w="9576" w:type="dxa"/>
          </w:tcPr>
          <w:p w14:paraId="4831B1F8" w14:textId="77777777" w:rsidR="00565D41" w:rsidRPr="00EB352A" w:rsidRDefault="00565D41" w:rsidP="00246CBD">
            <w:pPr>
              <w:pStyle w:val="ATABulletLevel01BodySlide"/>
              <w:rPr>
                <w:b/>
                <w:bCs w:val="0"/>
                <w:sz w:val="28"/>
                <w:szCs w:val="28"/>
              </w:rPr>
            </w:pPr>
            <w:r w:rsidRPr="00EB352A">
              <w:rPr>
                <w:b/>
                <w:bCs w:val="0"/>
                <w:sz w:val="28"/>
                <w:szCs w:val="28"/>
              </w:rPr>
              <w:t>أشخاص يتحدثون لوقت طويل على الهاتف العمومي أو الهاتف الجوال</w:t>
            </w:r>
          </w:p>
        </w:tc>
      </w:tr>
      <w:tr w:rsidR="00565D41" w:rsidRPr="00EB352A" w14:paraId="480562B4" w14:textId="77777777" w:rsidTr="00C6443C">
        <w:trPr>
          <w:cantSplit/>
        </w:trPr>
        <w:tc>
          <w:tcPr>
            <w:tcW w:w="9576" w:type="dxa"/>
          </w:tcPr>
          <w:p w14:paraId="5456CB53" w14:textId="77777777" w:rsidR="00565D41" w:rsidRPr="00EB352A" w:rsidRDefault="00565D41" w:rsidP="00246CBD">
            <w:pPr>
              <w:pStyle w:val="ATATableBody"/>
              <w:rPr>
                <w:b/>
                <w:sz w:val="28"/>
                <w:szCs w:val="28"/>
              </w:rPr>
            </w:pPr>
            <w:r w:rsidRPr="00EB352A">
              <w:rPr>
                <w:b/>
                <w:sz w:val="28"/>
                <w:szCs w:val="28"/>
              </w:rPr>
              <w:lastRenderedPageBreak/>
              <w:t>أشخاص يظهرون سلوكا مثيرا للشبهة، مثل:</w:t>
            </w:r>
          </w:p>
          <w:p w14:paraId="20C32085" w14:textId="77777777" w:rsidR="00565D41" w:rsidRPr="00EB352A" w:rsidRDefault="00565D41" w:rsidP="00246CBD">
            <w:pPr>
              <w:pStyle w:val="ATABulletLevel01BodySlide"/>
              <w:rPr>
                <w:b/>
                <w:bCs w:val="0"/>
                <w:sz w:val="28"/>
                <w:szCs w:val="28"/>
              </w:rPr>
            </w:pPr>
            <w:r w:rsidRPr="00EB352A">
              <w:rPr>
                <w:b/>
                <w:bCs w:val="0"/>
                <w:sz w:val="28"/>
                <w:szCs w:val="28"/>
              </w:rPr>
              <w:t>السلوك العصبي القلق</w:t>
            </w:r>
          </w:p>
          <w:p w14:paraId="78C36155" w14:textId="77777777" w:rsidR="00565D41" w:rsidRPr="00EB352A" w:rsidRDefault="00565D41" w:rsidP="00246CBD">
            <w:pPr>
              <w:pStyle w:val="ATABulletLevel01BodySlide"/>
              <w:rPr>
                <w:b/>
                <w:bCs w:val="0"/>
                <w:sz w:val="28"/>
                <w:szCs w:val="28"/>
              </w:rPr>
            </w:pPr>
            <w:r w:rsidRPr="00EB352A">
              <w:rPr>
                <w:b/>
                <w:bCs w:val="0"/>
                <w:sz w:val="28"/>
                <w:szCs w:val="28"/>
              </w:rPr>
              <w:t xml:space="preserve">الذين يرسمون تصاوير أو يدونون ملاحظات </w:t>
            </w:r>
          </w:p>
          <w:p w14:paraId="7A7A03F8" w14:textId="77777777" w:rsidR="00565D41" w:rsidRPr="00EB352A" w:rsidRDefault="00565D41" w:rsidP="00246CBD">
            <w:pPr>
              <w:pStyle w:val="ATABulletLevel01BodySlide"/>
              <w:rPr>
                <w:b/>
                <w:bCs w:val="0"/>
                <w:sz w:val="28"/>
                <w:szCs w:val="28"/>
              </w:rPr>
            </w:pPr>
            <w:r w:rsidRPr="00EB352A">
              <w:rPr>
                <w:b/>
                <w:bCs w:val="0"/>
                <w:sz w:val="28"/>
                <w:szCs w:val="28"/>
              </w:rPr>
              <w:t xml:space="preserve">إيقاف مركبات في مناطق محظورة </w:t>
            </w:r>
          </w:p>
          <w:p w14:paraId="35F7384E" w14:textId="77777777" w:rsidR="00565D41" w:rsidRPr="00EB352A" w:rsidRDefault="00565D41" w:rsidP="00246CBD">
            <w:pPr>
              <w:pStyle w:val="ATABulletLevel01BodySlide"/>
              <w:rPr>
                <w:b/>
                <w:bCs w:val="0"/>
                <w:sz w:val="28"/>
                <w:szCs w:val="28"/>
              </w:rPr>
            </w:pPr>
            <w:r w:rsidRPr="00EB352A">
              <w:rPr>
                <w:b/>
                <w:bCs w:val="0"/>
                <w:sz w:val="28"/>
                <w:szCs w:val="28"/>
              </w:rPr>
              <w:t xml:space="preserve">الذين يتحولون بعيدا عندما ينظر إليهم أحد </w:t>
            </w:r>
          </w:p>
          <w:p w14:paraId="6837E1E0" w14:textId="77777777" w:rsidR="00565D41" w:rsidRPr="00EB352A" w:rsidRDefault="00565D41" w:rsidP="00246CBD">
            <w:pPr>
              <w:pStyle w:val="ATABulletLevel01BodySlide"/>
              <w:rPr>
                <w:b/>
                <w:bCs w:val="0"/>
                <w:sz w:val="28"/>
                <w:szCs w:val="28"/>
              </w:rPr>
            </w:pPr>
            <w:r w:rsidRPr="00EB352A">
              <w:rPr>
                <w:b/>
                <w:bCs w:val="0"/>
                <w:sz w:val="28"/>
                <w:szCs w:val="28"/>
              </w:rPr>
              <w:t>التوقف فجأة والنظر إلى الخلف</w:t>
            </w:r>
          </w:p>
          <w:p w14:paraId="42E12A89" w14:textId="77777777" w:rsidR="00565D41" w:rsidRPr="00EB352A" w:rsidRDefault="00565D41" w:rsidP="00246CBD">
            <w:pPr>
              <w:pStyle w:val="ATABulletLevel01BodySlide"/>
              <w:rPr>
                <w:b/>
                <w:bCs w:val="0"/>
                <w:sz w:val="28"/>
                <w:szCs w:val="28"/>
              </w:rPr>
            </w:pPr>
            <w:r w:rsidRPr="00EB352A">
              <w:rPr>
                <w:b/>
                <w:bCs w:val="0"/>
                <w:sz w:val="28"/>
                <w:szCs w:val="28"/>
              </w:rPr>
              <w:t>عكس اتجاه السير والعودة في الخطى نفسها</w:t>
            </w:r>
          </w:p>
          <w:p w14:paraId="5329B3A4" w14:textId="77777777" w:rsidR="00565D41" w:rsidRPr="00EB352A" w:rsidRDefault="00565D41" w:rsidP="00246CBD">
            <w:pPr>
              <w:pStyle w:val="ATABulletLevel01BodySlide"/>
              <w:rPr>
                <w:b/>
                <w:bCs w:val="0"/>
                <w:sz w:val="28"/>
                <w:szCs w:val="28"/>
              </w:rPr>
            </w:pPr>
            <w:r w:rsidRPr="00EB352A">
              <w:rPr>
                <w:b/>
                <w:bCs w:val="0"/>
                <w:sz w:val="28"/>
                <w:szCs w:val="28"/>
              </w:rPr>
              <w:t>التوقف فجأة بعد الانعطاف في زاوية</w:t>
            </w:r>
          </w:p>
          <w:p w14:paraId="01DD8DAC" w14:textId="77777777" w:rsidR="00565D41" w:rsidRPr="00EB352A" w:rsidRDefault="00565D41" w:rsidP="00246CBD">
            <w:pPr>
              <w:pStyle w:val="ATABulletLevel01BodySlide"/>
              <w:rPr>
                <w:b/>
                <w:bCs w:val="0"/>
                <w:sz w:val="28"/>
                <w:szCs w:val="28"/>
              </w:rPr>
            </w:pPr>
            <w:r w:rsidRPr="00EB352A">
              <w:rPr>
                <w:b/>
                <w:bCs w:val="0"/>
                <w:sz w:val="28"/>
                <w:szCs w:val="28"/>
              </w:rPr>
              <w:t>ملاحظة الصور المنعكسة في نوافذ المتاجر</w:t>
            </w:r>
          </w:p>
          <w:p w14:paraId="2B90B2F6" w14:textId="488476CF" w:rsidR="00565D41" w:rsidRPr="00EB352A" w:rsidRDefault="00565D41" w:rsidP="00246CBD">
            <w:pPr>
              <w:pStyle w:val="ATABulletLevel01BodySlide"/>
              <w:rPr>
                <w:b/>
                <w:bCs w:val="0"/>
                <w:sz w:val="28"/>
                <w:szCs w:val="28"/>
              </w:rPr>
            </w:pPr>
            <w:r w:rsidRPr="00EB352A">
              <w:rPr>
                <w:b/>
                <w:bCs w:val="0"/>
                <w:sz w:val="28"/>
                <w:szCs w:val="28"/>
              </w:rPr>
              <w:t>التوقف لربط الحذاء والتطلع إلى الخلف</w:t>
            </w:r>
          </w:p>
          <w:p w14:paraId="692E590A" w14:textId="77777777" w:rsidR="00565D41" w:rsidRPr="00EB352A" w:rsidRDefault="00565D41" w:rsidP="00246CBD">
            <w:pPr>
              <w:pStyle w:val="ATABulletLevel01BodySlide"/>
              <w:rPr>
                <w:b/>
                <w:bCs w:val="0"/>
                <w:sz w:val="28"/>
                <w:szCs w:val="28"/>
              </w:rPr>
            </w:pPr>
            <w:r w:rsidRPr="00EB352A">
              <w:rPr>
                <w:b/>
                <w:bCs w:val="0"/>
                <w:sz w:val="28"/>
                <w:szCs w:val="28"/>
              </w:rPr>
              <w:t>القفز من الحافلة أو قطار الأنفاق لحظة بدء إغلاق الأبواب</w:t>
            </w:r>
          </w:p>
          <w:p w14:paraId="321AC507" w14:textId="77777777" w:rsidR="00565D41" w:rsidRPr="00EB352A" w:rsidRDefault="00565D41" w:rsidP="00246CBD">
            <w:pPr>
              <w:pStyle w:val="ATABulletLevel01BodySlide"/>
              <w:rPr>
                <w:rFonts w:asciiTheme="majorHAnsi" w:hAnsiTheme="majorHAnsi"/>
                <w:b/>
                <w:bCs w:val="0"/>
                <w:sz w:val="28"/>
                <w:szCs w:val="28"/>
              </w:rPr>
            </w:pPr>
            <w:r w:rsidRPr="00EB352A">
              <w:rPr>
                <w:b/>
                <w:bCs w:val="0"/>
                <w:sz w:val="28"/>
                <w:szCs w:val="28"/>
              </w:rPr>
              <w:t>دخول مبنى ما ثم مغادرته فورا من مخرج آخر</w:t>
            </w:r>
          </w:p>
        </w:tc>
      </w:tr>
    </w:tbl>
    <w:p w14:paraId="11A85FF8" w14:textId="77777777" w:rsidR="00565D41" w:rsidRPr="00EB352A" w:rsidRDefault="00565D41" w:rsidP="00565D41">
      <w:pPr>
        <w:rPr>
          <w:b/>
          <w:sz w:val="28"/>
          <w:szCs w:val="28"/>
        </w:rPr>
      </w:pPr>
    </w:p>
    <w:tbl>
      <w:tblPr>
        <w:tblStyle w:val="TableGrid"/>
        <w:bidiVisual/>
        <w:tblW w:w="0" w:type="auto"/>
        <w:tblLook w:val="04A0" w:firstRow="1" w:lastRow="0" w:firstColumn="1" w:lastColumn="0" w:noHBand="0" w:noVBand="1"/>
      </w:tblPr>
      <w:tblGrid>
        <w:gridCol w:w="9576"/>
      </w:tblGrid>
      <w:tr w:rsidR="00565D41" w:rsidRPr="00EB352A" w14:paraId="730CA88C" w14:textId="77777777" w:rsidTr="00C6443C">
        <w:tc>
          <w:tcPr>
            <w:tcW w:w="9576" w:type="dxa"/>
            <w:shd w:val="clear" w:color="auto" w:fill="D9D9D9" w:themeFill="background1" w:themeFillShade="D9"/>
          </w:tcPr>
          <w:p w14:paraId="03767900" w14:textId="77777777" w:rsidR="00565D41" w:rsidRPr="00EB352A" w:rsidRDefault="00565D41" w:rsidP="00246CBD">
            <w:pPr>
              <w:pStyle w:val="ATATableHeading"/>
              <w:rPr>
                <w:bCs/>
                <w:sz w:val="28"/>
                <w:szCs w:val="28"/>
              </w:rPr>
            </w:pPr>
            <w:r w:rsidRPr="00EB352A">
              <w:rPr>
                <w:bCs/>
                <w:sz w:val="28"/>
                <w:szCs w:val="28"/>
              </w:rPr>
              <w:t>العربات</w:t>
            </w:r>
          </w:p>
        </w:tc>
      </w:tr>
      <w:tr w:rsidR="00565D41" w:rsidRPr="00EB352A" w14:paraId="067350A2" w14:textId="77777777" w:rsidTr="00C6443C">
        <w:tc>
          <w:tcPr>
            <w:tcW w:w="9576" w:type="dxa"/>
          </w:tcPr>
          <w:p w14:paraId="47AB01DD" w14:textId="77777777" w:rsidR="00565D41" w:rsidRPr="00EB352A" w:rsidRDefault="00565D41" w:rsidP="00246CBD">
            <w:pPr>
              <w:pStyle w:val="ATABulletLevel01BodySlide"/>
              <w:rPr>
                <w:rFonts w:asciiTheme="majorHAnsi" w:hAnsiTheme="majorHAnsi"/>
                <w:b/>
                <w:bCs w:val="0"/>
                <w:sz w:val="28"/>
                <w:szCs w:val="28"/>
              </w:rPr>
            </w:pPr>
            <w:r w:rsidRPr="00EB352A">
              <w:rPr>
                <w:b/>
                <w:bCs w:val="0"/>
                <w:sz w:val="28"/>
                <w:szCs w:val="28"/>
              </w:rPr>
              <w:t>ملاحظة نفس العربة المشبوهة عدة مرات عبر الزمن أو المسافة أو الاتجاه.</w:t>
            </w:r>
          </w:p>
        </w:tc>
      </w:tr>
      <w:tr w:rsidR="00565D41" w:rsidRPr="00EB352A" w14:paraId="569A318F" w14:textId="77777777" w:rsidTr="00C6443C">
        <w:tc>
          <w:tcPr>
            <w:tcW w:w="9576" w:type="dxa"/>
          </w:tcPr>
          <w:p w14:paraId="10E9060F" w14:textId="77777777" w:rsidR="00565D41" w:rsidRPr="00EB352A" w:rsidRDefault="00565D41" w:rsidP="00246CBD">
            <w:pPr>
              <w:pStyle w:val="ATABulletLevel01BodySlide"/>
              <w:rPr>
                <w:rFonts w:asciiTheme="majorHAnsi" w:hAnsiTheme="majorHAnsi"/>
                <w:b/>
                <w:bCs w:val="0"/>
                <w:sz w:val="28"/>
                <w:szCs w:val="28"/>
              </w:rPr>
            </w:pPr>
            <w:r w:rsidRPr="00EB352A">
              <w:rPr>
                <w:b/>
                <w:bCs w:val="0"/>
                <w:sz w:val="28"/>
                <w:szCs w:val="28"/>
              </w:rPr>
              <w:t>العربات التي تُشاهَد عدة مرات في نفس الموقع في عدة مناسبات؛ أشخاص يجلسون في سيارة واقفة لفترات طويلة</w:t>
            </w:r>
          </w:p>
        </w:tc>
      </w:tr>
      <w:tr w:rsidR="00565D41" w:rsidRPr="00EB352A" w14:paraId="720A33AE" w14:textId="77777777" w:rsidTr="00C6443C">
        <w:tc>
          <w:tcPr>
            <w:tcW w:w="9576" w:type="dxa"/>
          </w:tcPr>
          <w:p w14:paraId="746C190E" w14:textId="77777777" w:rsidR="00565D41" w:rsidRPr="00EB352A" w:rsidRDefault="00565D41" w:rsidP="00246CBD">
            <w:pPr>
              <w:pStyle w:val="ATABulletLevel01BodySlide"/>
              <w:rPr>
                <w:rFonts w:asciiTheme="majorHAnsi" w:hAnsiTheme="majorHAnsi"/>
                <w:b/>
                <w:bCs w:val="0"/>
                <w:sz w:val="28"/>
                <w:szCs w:val="28"/>
              </w:rPr>
            </w:pPr>
            <w:r w:rsidRPr="00EB352A">
              <w:rPr>
                <w:rFonts w:asciiTheme="majorHAnsi" w:hAnsiTheme="majorHAnsi"/>
                <w:b/>
                <w:bCs w:val="0"/>
                <w:sz w:val="28"/>
                <w:szCs w:val="28"/>
              </w:rPr>
              <w:t>العربات المركونة في مناطق محظورة</w:t>
            </w:r>
          </w:p>
        </w:tc>
      </w:tr>
      <w:tr w:rsidR="00565D41" w:rsidRPr="00EB352A" w14:paraId="63062F0C" w14:textId="77777777" w:rsidTr="00C6443C">
        <w:tc>
          <w:tcPr>
            <w:tcW w:w="9576" w:type="dxa"/>
          </w:tcPr>
          <w:p w14:paraId="0C6D9552" w14:textId="77777777" w:rsidR="00565D41" w:rsidRPr="00EB352A" w:rsidRDefault="00565D41" w:rsidP="00246CBD">
            <w:pPr>
              <w:pStyle w:val="ATABulletLevel01BodySlide"/>
              <w:rPr>
                <w:rFonts w:asciiTheme="majorHAnsi" w:hAnsiTheme="majorHAnsi"/>
                <w:b/>
                <w:bCs w:val="0"/>
                <w:sz w:val="28"/>
                <w:szCs w:val="28"/>
              </w:rPr>
            </w:pPr>
            <w:r w:rsidRPr="00EB352A">
              <w:rPr>
                <w:rFonts w:asciiTheme="majorHAnsi" w:hAnsiTheme="majorHAnsi"/>
                <w:b/>
                <w:bCs w:val="0"/>
                <w:sz w:val="28"/>
                <w:szCs w:val="28"/>
              </w:rPr>
              <w:t>مركبات تسير بسرعة لا تتماشى مع بقية حركة السير وتغير اتجاهها أو تتوقف فجأة</w:t>
            </w:r>
          </w:p>
        </w:tc>
      </w:tr>
      <w:tr w:rsidR="00565D41" w:rsidRPr="00EB352A" w14:paraId="00532BC7" w14:textId="77777777" w:rsidTr="00C6443C">
        <w:tc>
          <w:tcPr>
            <w:tcW w:w="9576" w:type="dxa"/>
          </w:tcPr>
          <w:p w14:paraId="7F47CB67" w14:textId="77777777" w:rsidR="00565D41" w:rsidRPr="00EB352A" w:rsidRDefault="00565D41" w:rsidP="00246CBD">
            <w:pPr>
              <w:pStyle w:val="ATABulletLevel01BodySlide"/>
              <w:rPr>
                <w:rFonts w:asciiTheme="majorHAnsi" w:hAnsiTheme="majorHAnsi"/>
                <w:b/>
                <w:bCs w:val="0"/>
                <w:sz w:val="28"/>
                <w:szCs w:val="28"/>
              </w:rPr>
            </w:pPr>
            <w:r w:rsidRPr="00EB352A">
              <w:rPr>
                <w:rFonts w:asciiTheme="majorHAnsi" w:hAnsiTheme="majorHAnsi"/>
                <w:b/>
                <w:bCs w:val="0"/>
                <w:sz w:val="28"/>
                <w:szCs w:val="28"/>
              </w:rPr>
              <w:t>الإشارات والاتصالات غير الطبيعية بين الأفراد أو العربات</w:t>
            </w:r>
          </w:p>
        </w:tc>
      </w:tr>
      <w:tr w:rsidR="00565D41" w:rsidRPr="00EB352A" w14:paraId="05BFB2BF" w14:textId="77777777" w:rsidTr="00C6443C">
        <w:tc>
          <w:tcPr>
            <w:tcW w:w="9576" w:type="dxa"/>
          </w:tcPr>
          <w:p w14:paraId="11C3206D" w14:textId="10817C84" w:rsidR="00565D41" w:rsidRPr="00EB352A" w:rsidRDefault="00565D41" w:rsidP="00246CBD">
            <w:pPr>
              <w:pStyle w:val="ATABulletLevel01BodySlide"/>
              <w:rPr>
                <w:rFonts w:asciiTheme="majorHAnsi" w:hAnsiTheme="majorHAnsi"/>
                <w:b/>
                <w:bCs w:val="0"/>
                <w:sz w:val="28"/>
                <w:szCs w:val="28"/>
              </w:rPr>
            </w:pPr>
            <w:r w:rsidRPr="00EB352A">
              <w:rPr>
                <w:rFonts w:asciiTheme="majorHAnsi" w:hAnsiTheme="majorHAnsi"/>
                <w:b/>
                <w:bCs w:val="0"/>
                <w:sz w:val="28"/>
                <w:szCs w:val="28"/>
              </w:rPr>
              <w:t xml:space="preserve">تغيير ورديّات بشكل غير مُحترف (عربة قادمة، عربة مغادرة، </w:t>
            </w:r>
            <w:r w:rsidR="00256FB4" w:rsidRPr="00EB352A">
              <w:rPr>
                <w:rFonts w:asciiTheme="majorHAnsi" w:hAnsiTheme="majorHAnsi" w:hint="cs"/>
                <w:b/>
                <w:bCs w:val="0"/>
                <w:sz w:val="28"/>
                <w:szCs w:val="28"/>
              </w:rPr>
              <w:t>اتصالات</w:t>
            </w:r>
            <w:r w:rsidRPr="00EB352A">
              <w:rPr>
                <w:rFonts w:asciiTheme="majorHAnsi" w:hAnsiTheme="majorHAnsi"/>
                <w:b/>
                <w:bCs w:val="0"/>
                <w:sz w:val="28"/>
                <w:szCs w:val="28"/>
              </w:rPr>
              <w:t xml:space="preserve"> محتملة بين السائقين)</w:t>
            </w:r>
          </w:p>
        </w:tc>
      </w:tr>
      <w:tr w:rsidR="00565D41" w:rsidRPr="00EB352A" w14:paraId="70F2DEE3" w14:textId="77777777" w:rsidTr="00C6443C">
        <w:tc>
          <w:tcPr>
            <w:tcW w:w="9576" w:type="dxa"/>
          </w:tcPr>
          <w:p w14:paraId="2638ED43" w14:textId="77777777" w:rsidR="00565D41" w:rsidRPr="00EB352A" w:rsidRDefault="00565D41" w:rsidP="00246CBD">
            <w:pPr>
              <w:pStyle w:val="ATABulletLevel01BodySlide"/>
              <w:rPr>
                <w:rFonts w:asciiTheme="majorHAnsi" w:hAnsiTheme="majorHAnsi"/>
                <w:b/>
                <w:bCs w:val="0"/>
                <w:sz w:val="28"/>
                <w:szCs w:val="28"/>
              </w:rPr>
            </w:pPr>
            <w:r w:rsidRPr="00EB352A">
              <w:rPr>
                <w:rFonts w:asciiTheme="majorHAnsi" w:hAnsiTheme="majorHAnsi"/>
                <w:b/>
                <w:bCs w:val="0"/>
                <w:sz w:val="28"/>
                <w:szCs w:val="28"/>
              </w:rPr>
              <w:t xml:space="preserve">أشخاص يخرجون من المركبات بأساليب غير طبيعية </w:t>
            </w:r>
          </w:p>
        </w:tc>
      </w:tr>
      <w:tr w:rsidR="00565D41" w:rsidRPr="00EB352A" w14:paraId="122A4DBC" w14:textId="77777777" w:rsidTr="00C6443C">
        <w:tc>
          <w:tcPr>
            <w:tcW w:w="9576" w:type="dxa"/>
          </w:tcPr>
          <w:p w14:paraId="305D9BAF" w14:textId="77777777" w:rsidR="00565D41" w:rsidRPr="00EB352A" w:rsidRDefault="00565D41" w:rsidP="00246CBD">
            <w:pPr>
              <w:pStyle w:val="ATABulletLevel01BodySlide"/>
              <w:rPr>
                <w:rFonts w:asciiTheme="majorHAnsi" w:hAnsiTheme="majorHAnsi"/>
                <w:b/>
                <w:bCs w:val="0"/>
                <w:sz w:val="28"/>
                <w:szCs w:val="28"/>
              </w:rPr>
            </w:pPr>
            <w:r w:rsidRPr="00EB352A">
              <w:rPr>
                <w:rFonts w:asciiTheme="majorHAnsi" w:hAnsiTheme="majorHAnsi"/>
                <w:b/>
                <w:bCs w:val="0"/>
                <w:sz w:val="28"/>
                <w:szCs w:val="28"/>
              </w:rPr>
              <w:t>أية عربة تحمل نمرة محرفة أو مغطاة (غير ظاهرة للعيان)</w:t>
            </w:r>
          </w:p>
        </w:tc>
      </w:tr>
      <w:tr w:rsidR="00565D41" w:rsidRPr="00EB352A" w14:paraId="7EEFEA46" w14:textId="77777777" w:rsidTr="00C6443C">
        <w:tc>
          <w:tcPr>
            <w:tcW w:w="9576" w:type="dxa"/>
          </w:tcPr>
          <w:p w14:paraId="7BF4F1DF" w14:textId="5D3997E9" w:rsidR="00565D41" w:rsidRPr="00EB352A" w:rsidRDefault="00565D41" w:rsidP="00256FB4">
            <w:pPr>
              <w:pStyle w:val="ATABulletLevel01BodySlide"/>
              <w:rPr>
                <w:rFonts w:asciiTheme="majorHAnsi" w:hAnsiTheme="majorHAnsi"/>
                <w:b/>
                <w:bCs w:val="0"/>
                <w:sz w:val="28"/>
                <w:szCs w:val="28"/>
              </w:rPr>
            </w:pPr>
            <w:r w:rsidRPr="00EB352A">
              <w:rPr>
                <w:rFonts w:asciiTheme="majorHAnsi" w:hAnsiTheme="majorHAnsi"/>
                <w:b/>
                <w:bCs w:val="0"/>
                <w:sz w:val="28"/>
                <w:szCs w:val="28"/>
              </w:rPr>
              <w:t xml:space="preserve">سيارات </w:t>
            </w:r>
            <w:r w:rsidR="00256FB4">
              <w:rPr>
                <w:rFonts w:asciiTheme="majorHAnsi" w:hAnsiTheme="majorHAnsi" w:hint="cs"/>
                <w:b/>
                <w:bCs w:val="0"/>
                <w:sz w:val="28"/>
                <w:szCs w:val="28"/>
              </w:rPr>
              <w:t>معطلة</w:t>
            </w:r>
          </w:p>
        </w:tc>
      </w:tr>
    </w:tbl>
    <w:p w14:paraId="54FB7FC8" w14:textId="77777777" w:rsidR="00565D41" w:rsidRPr="00EB352A" w:rsidRDefault="00565D41" w:rsidP="00565D41">
      <w:pPr>
        <w:rPr>
          <w:rFonts w:asciiTheme="majorHAnsi" w:hAnsiTheme="majorHAnsi" w:cs="Arial"/>
          <w:b/>
          <w:sz w:val="28"/>
          <w:szCs w:val="28"/>
        </w:rPr>
      </w:pPr>
    </w:p>
    <w:p w14:paraId="7F9379EF" w14:textId="77777777" w:rsidR="00E31DA1" w:rsidRPr="00EB352A" w:rsidRDefault="00E31DA1" w:rsidP="00565D41">
      <w:pPr>
        <w:pStyle w:val="ATAHeadingLevel1"/>
        <w:rPr>
          <w:sz w:val="28"/>
          <w:szCs w:val="28"/>
        </w:rPr>
      </w:pPr>
    </w:p>
    <w:sectPr w:rsidR="00E31DA1" w:rsidRPr="00EB352A" w:rsidSect="00D17B49">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D2B112" w14:textId="77777777" w:rsidR="00B55679" w:rsidRDefault="00B55679" w:rsidP="00C82114">
      <w:r>
        <w:separator/>
      </w:r>
    </w:p>
  </w:endnote>
  <w:endnote w:type="continuationSeparator" w:id="0">
    <w:p w14:paraId="75F27BDE" w14:textId="77777777" w:rsidR="00B55679" w:rsidRDefault="00B55679"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C305B2" w:rsidRPr="00EB352A" w14:paraId="7F9379FC" w14:textId="77777777" w:rsidTr="00EB352A">
      <w:tc>
        <w:tcPr>
          <w:tcW w:w="8100" w:type="dxa"/>
          <w:shd w:val="clear" w:color="auto" w:fill="auto"/>
        </w:tcPr>
        <w:p w14:paraId="7F9379FA" w14:textId="01F031A7" w:rsidR="00C305B2" w:rsidRPr="00EB352A" w:rsidRDefault="005D00C8" w:rsidP="00EB352A">
          <w:pPr>
            <w:pStyle w:val="ATAFooter"/>
            <w:bidi w:val="0"/>
            <w:rPr>
              <w:rStyle w:val="ATAFooterChar"/>
              <w:rFonts w:eastAsia="Arial Unicode MS"/>
              <w:color w:val="000000" w:themeColor="text1"/>
              <w:szCs w:val="18"/>
            </w:rPr>
          </w:pPr>
          <w:r w:rsidRPr="00EB352A">
            <w:rPr>
              <w:color w:val="000000" w:themeColor="text1"/>
              <w:szCs w:val="18"/>
              <w:rtl w:val="0"/>
            </w:rPr>
            <w:t xml:space="preserve">Critical Infrastructure Security and Resilience (CISR) </w:t>
          </w:r>
          <w:r w:rsidRPr="00EB352A">
            <w:rPr>
              <w:rStyle w:val="PlaceholderText"/>
              <w:color w:val="000000" w:themeColor="text1"/>
              <w:szCs w:val="18"/>
              <w:rtl w:val="0"/>
            </w:rPr>
            <w:t>v4.00</w:t>
          </w:r>
        </w:p>
      </w:tc>
      <w:tc>
        <w:tcPr>
          <w:tcW w:w="1260" w:type="dxa"/>
          <w:shd w:val="clear" w:color="auto" w:fill="auto"/>
        </w:tcPr>
        <w:p w14:paraId="7F9379FB" w14:textId="3ADB043F" w:rsidR="00C305B2" w:rsidRPr="00EB352A" w:rsidRDefault="00C305B2" w:rsidP="00EB352A">
          <w:pPr>
            <w:pStyle w:val="ATAFooter"/>
            <w:bidi w:val="0"/>
            <w:jc w:val="right"/>
            <w:rPr>
              <w:szCs w:val="18"/>
            </w:rPr>
          </w:pPr>
          <w:r w:rsidRPr="00EB352A">
            <w:rPr>
              <w:rStyle w:val="ATAFooterChar"/>
              <w:szCs w:val="18"/>
              <w:rtl w:val="0"/>
            </w:rPr>
            <w:t xml:space="preserve">Page </w:t>
          </w:r>
          <w:r w:rsidRPr="00EB352A">
            <w:rPr>
              <w:rStyle w:val="ATAFooterChar"/>
              <w:rFonts w:eastAsia="Arial Unicode MS"/>
              <w:szCs w:val="18"/>
            </w:rPr>
            <w:fldChar w:fldCharType="begin"/>
          </w:r>
          <w:r w:rsidRPr="00EB352A">
            <w:rPr>
              <w:rStyle w:val="ATAFooterChar"/>
              <w:rFonts w:eastAsia="Arial Unicode MS"/>
              <w:szCs w:val="18"/>
            </w:rPr>
            <w:instrText xml:space="preserve"> PAGE </w:instrText>
          </w:r>
          <w:r w:rsidRPr="00EB352A">
            <w:rPr>
              <w:rStyle w:val="ATAFooterChar"/>
              <w:rFonts w:eastAsia="Arial Unicode MS"/>
              <w:szCs w:val="18"/>
            </w:rPr>
            <w:fldChar w:fldCharType="separate"/>
          </w:r>
          <w:r w:rsidR="009D0196">
            <w:rPr>
              <w:rStyle w:val="ATAFooterChar"/>
              <w:rFonts w:eastAsia="Arial Unicode MS"/>
              <w:noProof/>
              <w:szCs w:val="18"/>
            </w:rPr>
            <w:t>1</w:t>
          </w:r>
          <w:r w:rsidRPr="00EB352A">
            <w:rPr>
              <w:rStyle w:val="ATAFooterChar"/>
              <w:rFonts w:eastAsia="Arial Unicode MS"/>
              <w:szCs w:val="18"/>
            </w:rPr>
            <w:fldChar w:fldCharType="end"/>
          </w:r>
          <w:r w:rsidRPr="00EB352A">
            <w:rPr>
              <w:rStyle w:val="ATAFooterChar"/>
              <w:szCs w:val="18"/>
              <w:rtl w:val="0"/>
            </w:rPr>
            <w:t xml:space="preserve"> of</w:t>
          </w:r>
          <w:r w:rsidR="00EB352A">
            <w:rPr>
              <w:rStyle w:val="ATAFooterChar"/>
              <w:szCs w:val="18"/>
              <w:rtl w:val="0"/>
            </w:rPr>
            <w:t xml:space="preserve"> </w:t>
          </w:r>
          <w:r w:rsidRPr="00EB352A">
            <w:rPr>
              <w:rStyle w:val="ATAFooterChar"/>
              <w:szCs w:val="18"/>
            </w:rPr>
            <w:t xml:space="preserve"> </w:t>
          </w:r>
          <w:r w:rsidRPr="00EB352A">
            <w:rPr>
              <w:rStyle w:val="ATAFooterChar"/>
              <w:rFonts w:eastAsia="Arial Unicode MS"/>
              <w:szCs w:val="18"/>
            </w:rPr>
            <w:fldChar w:fldCharType="begin"/>
          </w:r>
          <w:r w:rsidRPr="00EB352A">
            <w:rPr>
              <w:rStyle w:val="ATAFooterChar"/>
              <w:rFonts w:eastAsia="Arial Unicode MS"/>
              <w:szCs w:val="18"/>
            </w:rPr>
            <w:instrText xml:space="preserve"> NUMPAGES  \# "0"  \* MERGEFORMAT </w:instrText>
          </w:r>
          <w:r w:rsidRPr="00EB352A">
            <w:rPr>
              <w:rStyle w:val="ATAFooterChar"/>
              <w:rFonts w:eastAsia="Arial Unicode MS"/>
              <w:szCs w:val="18"/>
            </w:rPr>
            <w:fldChar w:fldCharType="separate"/>
          </w:r>
          <w:r w:rsidR="009D0196">
            <w:rPr>
              <w:rStyle w:val="ATAFooterChar"/>
              <w:rFonts w:eastAsia="Arial Unicode MS"/>
              <w:noProof/>
              <w:szCs w:val="18"/>
            </w:rPr>
            <w:t>2</w:t>
          </w:r>
          <w:r w:rsidRPr="00EB352A">
            <w:rPr>
              <w:rStyle w:val="ATAFooterChar"/>
              <w:rFonts w:eastAsia="Arial Unicode MS"/>
              <w:szCs w:val="18"/>
            </w:rPr>
            <w:fldChar w:fldCharType="end"/>
          </w:r>
        </w:p>
      </w:tc>
    </w:tr>
  </w:tbl>
  <w:p w14:paraId="7F9379FD" w14:textId="77777777" w:rsidR="008564F0" w:rsidRPr="00E9494F" w:rsidRDefault="008564F0" w:rsidP="00423B24">
    <w:pPr>
      <w:tabs>
        <w:tab w:val="right" w:pos="8640"/>
      </w:tabs>
      <w:jc w:val="center"/>
      <w:rPr>
        <w:rFonts w:ascii="Arial" w:eastAsia="Arial Unicode MS" w:hAnsi="Arial" w:cs="Arial"/>
      </w:rPr>
    </w:pPr>
    <w:r>
      <w:rPr>
        <w:rFonts w:ascii="Arial" w:hAnsi="Arial"/>
        <w:b/>
        <w:sz w:val="18"/>
        <w:rtl w:val="0"/>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154DC2" w14:textId="77777777" w:rsidR="00B55679" w:rsidRDefault="00B55679" w:rsidP="00C82114">
      <w:r>
        <w:separator/>
      </w:r>
    </w:p>
  </w:footnote>
  <w:footnote w:type="continuationSeparator" w:id="0">
    <w:p w14:paraId="2F0095E5" w14:textId="77777777" w:rsidR="00B55679" w:rsidRDefault="00B55679"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80"/>
      <w:gridCol w:w="4680"/>
    </w:tblGrid>
    <w:tr w:rsidR="008564F0" w:rsidRPr="00456B51" w14:paraId="7F9379F8" w14:textId="77777777" w:rsidTr="00EB352A">
      <w:tc>
        <w:tcPr>
          <w:tcW w:w="4788" w:type="dxa"/>
          <w:shd w:val="clear" w:color="auto" w:fill="auto"/>
          <w:vAlign w:val="bottom"/>
        </w:tcPr>
        <w:p w14:paraId="7F9379F6" w14:textId="7C4EE5FD" w:rsidR="008564F0" w:rsidRPr="00456B51" w:rsidRDefault="00CE5B91" w:rsidP="00EB352A">
          <w:pPr>
            <w:pStyle w:val="ATAHeader"/>
            <w:bidi w:val="0"/>
          </w:pPr>
          <w:r>
            <w:rPr>
              <w:rtl w:val="0"/>
            </w:rPr>
            <w:t>Module 8: Surveillance Awareness: What You Can Do</w:t>
          </w:r>
        </w:p>
      </w:tc>
      <w:tc>
        <w:tcPr>
          <w:tcW w:w="4788" w:type="dxa"/>
          <w:shd w:val="clear" w:color="auto" w:fill="auto"/>
          <w:vAlign w:val="bottom"/>
        </w:tcPr>
        <w:p w14:paraId="7F9379F7" w14:textId="53E187E4" w:rsidR="008564F0" w:rsidRPr="00456B51" w:rsidRDefault="008E2947" w:rsidP="00EB352A">
          <w:pPr>
            <w:pStyle w:val="ATAHeader"/>
            <w:bidi w:val="0"/>
            <w:jc w:val="right"/>
          </w:pPr>
          <w:r>
            <w:rPr>
              <w:rtl w:val="0"/>
            </w:rPr>
            <w:t>Workbook</w:t>
          </w:r>
          <w:r w:rsidR="003204FE">
            <w:rPr>
              <w:rtl w:val="0"/>
            </w:rPr>
            <w:t xml:space="preserve"> 8.2: Indicators of Hostile Surveillance Activities</w:t>
          </w:r>
        </w:p>
      </w:tc>
    </w:tr>
  </w:tbl>
  <w:p w14:paraId="7F9379F9" w14:textId="77777777" w:rsidR="008564F0" w:rsidRPr="00456B51" w:rsidRDefault="008564F0" w:rsidP="00264A72">
    <w:pPr>
      <w:pStyle w:val="ATABody"/>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3">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6">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0">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9"/>
  </w:num>
  <w:num w:numId="3">
    <w:abstractNumId w:val="14"/>
  </w:num>
  <w:num w:numId="4">
    <w:abstractNumId w:val="6"/>
  </w:num>
  <w:num w:numId="5">
    <w:abstractNumId w:val="3"/>
  </w:num>
  <w:num w:numId="6">
    <w:abstractNumId w:val="8"/>
  </w:num>
  <w:num w:numId="7">
    <w:abstractNumId w:val="7"/>
  </w:num>
  <w:num w:numId="8">
    <w:abstractNumId w:val="4"/>
  </w:num>
  <w:num w:numId="9">
    <w:abstractNumId w:val="0"/>
  </w:num>
  <w:num w:numId="10">
    <w:abstractNumId w:val="13"/>
  </w:num>
  <w:num w:numId="11">
    <w:abstractNumId w:val="14"/>
  </w:num>
  <w:num w:numId="12">
    <w:abstractNumId w:val="14"/>
  </w:num>
  <w:num w:numId="13">
    <w:abstractNumId w:val="9"/>
  </w:num>
  <w:num w:numId="14">
    <w:abstractNumId w:val="17"/>
  </w:num>
  <w:num w:numId="15">
    <w:abstractNumId w:val="10"/>
  </w:num>
  <w:num w:numId="16">
    <w:abstractNumId w:val="18"/>
  </w:num>
  <w:num w:numId="17">
    <w:abstractNumId w:val="18"/>
    <w:lvlOverride w:ilvl="0">
      <w:startOverride w:val="1"/>
    </w:lvlOverride>
  </w:num>
  <w:num w:numId="18">
    <w:abstractNumId w:val="17"/>
  </w:num>
  <w:num w:numId="19">
    <w:abstractNumId w:val="2"/>
  </w:num>
  <w:num w:numId="20">
    <w:abstractNumId w:val="18"/>
  </w:num>
  <w:num w:numId="21">
    <w:abstractNumId w:val="1"/>
  </w:num>
  <w:num w:numId="22">
    <w:abstractNumId w:val="12"/>
  </w:num>
  <w:num w:numId="23">
    <w:abstractNumId w:val="15"/>
  </w:num>
  <w:num w:numId="24">
    <w:abstractNumId w:val="11"/>
  </w:num>
  <w:num w:numId="25">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5C4"/>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2034"/>
    <w:rsid w:val="00054910"/>
    <w:rsid w:val="00057F70"/>
    <w:rsid w:val="00061275"/>
    <w:rsid w:val="00061B87"/>
    <w:rsid w:val="00062190"/>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8CC"/>
    <w:rsid w:val="000D44FF"/>
    <w:rsid w:val="000D4AA5"/>
    <w:rsid w:val="000D4E8E"/>
    <w:rsid w:val="000D6923"/>
    <w:rsid w:val="000E053F"/>
    <w:rsid w:val="000E50CD"/>
    <w:rsid w:val="000F784C"/>
    <w:rsid w:val="001042E5"/>
    <w:rsid w:val="001063E0"/>
    <w:rsid w:val="00107CD9"/>
    <w:rsid w:val="0011397E"/>
    <w:rsid w:val="001142A3"/>
    <w:rsid w:val="00117566"/>
    <w:rsid w:val="001211DF"/>
    <w:rsid w:val="0012472D"/>
    <w:rsid w:val="00124ABF"/>
    <w:rsid w:val="00124F0D"/>
    <w:rsid w:val="001259FD"/>
    <w:rsid w:val="0013230A"/>
    <w:rsid w:val="00132CA1"/>
    <w:rsid w:val="00134898"/>
    <w:rsid w:val="00140812"/>
    <w:rsid w:val="00142254"/>
    <w:rsid w:val="00143EDD"/>
    <w:rsid w:val="001449E0"/>
    <w:rsid w:val="00145378"/>
    <w:rsid w:val="00146548"/>
    <w:rsid w:val="0014669F"/>
    <w:rsid w:val="001473D0"/>
    <w:rsid w:val="00151B4C"/>
    <w:rsid w:val="001520A9"/>
    <w:rsid w:val="001538CC"/>
    <w:rsid w:val="0015399B"/>
    <w:rsid w:val="0015480C"/>
    <w:rsid w:val="00155C46"/>
    <w:rsid w:val="001577BB"/>
    <w:rsid w:val="00157B1E"/>
    <w:rsid w:val="001601EF"/>
    <w:rsid w:val="00163B76"/>
    <w:rsid w:val="0016636E"/>
    <w:rsid w:val="00166677"/>
    <w:rsid w:val="00172713"/>
    <w:rsid w:val="00172F2E"/>
    <w:rsid w:val="0017472B"/>
    <w:rsid w:val="0017688C"/>
    <w:rsid w:val="001779F0"/>
    <w:rsid w:val="00182D9D"/>
    <w:rsid w:val="0018406E"/>
    <w:rsid w:val="00184648"/>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C333B"/>
    <w:rsid w:val="001C64EB"/>
    <w:rsid w:val="001C7FF0"/>
    <w:rsid w:val="001D2DC4"/>
    <w:rsid w:val="001D46E1"/>
    <w:rsid w:val="001E04D6"/>
    <w:rsid w:val="001E32F7"/>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7D4A"/>
    <w:rsid w:val="00243817"/>
    <w:rsid w:val="00244F52"/>
    <w:rsid w:val="002469C9"/>
    <w:rsid w:val="00246CBD"/>
    <w:rsid w:val="00247D15"/>
    <w:rsid w:val="00247FB7"/>
    <w:rsid w:val="00250672"/>
    <w:rsid w:val="002506E4"/>
    <w:rsid w:val="00251C0C"/>
    <w:rsid w:val="0025295B"/>
    <w:rsid w:val="00252CBC"/>
    <w:rsid w:val="002539A6"/>
    <w:rsid w:val="00254F22"/>
    <w:rsid w:val="00255884"/>
    <w:rsid w:val="002567CF"/>
    <w:rsid w:val="00256FB4"/>
    <w:rsid w:val="00262DF0"/>
    <w:rsid w:val="00263CC7"/>
    <w:rsid w:val="00264504"/>
    <w:rsid w:val="00264A72"/>
    <w:rsid w:val="0026591D"/>
    <w:rsid w:val="00265E9B"/>
    <w:rsid w:val="00266371"/>
    <w:rsid w:val="002669CC"/>
    <w:rsid w:val="0026784C"/>
    <w:rsid w:val="0026798C"/>
    <w:rsid w:val="00271F33"/>
    <w:rsid w:val="00272A02"/>
    <w:rsid w:val="00273580"/>
    <w:rsid w:val="002859E3"/>
    <w:rsid w:val="00285CC0"/>
    <w:rsid w:val="00291A04"/>
    <w:rsid w:val="0029575D"/>
    <w:rsid w:val="00296513"/>
    <w:rsid w:val="00296BBB"/>
    <w:rsid w:val="002A0962"/>
    <w:rsid w:val="002A1B61"/>
    <w:rsid w:val="002A2685"/>
    <w:rsid w:val="002A4028"/>
    <w:rsid w:val="002A7E7C"/>
    <w:rsid w:val="002B07F0"/>
    <w:rsid w:val="002B17F0"/>
    <w:rsid w:val="002B3A35"/>
    <w:rsid w:val="002B3D5A"/>
    <w:rsid w:val="002B4783"/>
    <w:rsid w:val="002B4DE1"/>
    <w:rsid w:val="002B4F53"/>
    <w:rsid w:val="002B7536"/>
    <w:rsid w:val="002C07D7"/>
    <w:rsid w:val="002C0833"/>
    <w:rsid w:val="002C3037"/>
    <w:rsid w:val="002D2049"/>
    <w:rsid w:val="002D22E1"/>
    <w:rsid w:val="002D23BF"/>
    <w:rsid w:val="002E304A"/>
    <w:rsid w:val="002F20B3"/>
    <w:rsid w:val="002F23B3"/>
    <w:rsid w:val="002F700A"/>
    <w:rsid w:val="003017B9"/>
    <w:rsid w:val="003019E9"/>
    <w:rsid w:val="00302ACC"/>
    <w:rsid w:val="00303B04"/>
    <w:rsid w:val="00306311"/>
    <w:rsid w:val="00311AB8"/>
    <w:rsid w:val="00312331"/>
    <w:rsid w:val="0031631B"/>
    <w:rsid w:val="003204FE"/>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5CE7"/>
    <w:rsid w:val="003822F0"/>
    <w:rsid w:val="00384DB7"/>
    <w:rsid w:val="00385980"/>
    <w:rsid w:val="00385B8F"/>
    <w:rsid w:val="00390366"/>
    <w:rsid w:val="003A0135"/>
    <w:rsid w:val="003A46E2"/>
    <w:rsid w:val="003B2C3F"/>
    <w:rsid w:val="003B5891"/>
    <w:rsid w:val="003B7B4D"/>
    <w:rsid w:val="003C1E33"/>
    <w:rsid w:val="003C225C"/>
    <w:rsid w:val="003C2412"/>
    <w:rsid w:val="003C4674"/>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0739D"/>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55E"/>
    <w:rsid w:val="00443DF9"/>
    <w:rsid w:val="0044446B"/>
    <w:rsid w:val="00445174"/>
    <w:rsid w:val="00445E76"/>
    <w:rsid w:val="00445E9B"/>
    <w:rsid w:val="0045190F"/>
    <w:rsid w:val="0045386D"/>
    <w:rsid w:val="00456B51"/>
    <w:rsid w:val="00460A1E"/>
    <w:rsid w:val="00461061"/>
    <w:rsid w:val="00464995"/>
    <w:rsid w:val="00467008"/>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1BC7"/>
    <w:rsid w:val="005242D9"/>
    <w:rsid w:val="005259CD"/>
    <w:rsid w:val="00530BE7"/>
    <w:rsid w:val="0053273C"/>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5D41"/>
    <w:rsid w:val="00567D7F"/>
    <w:rsid w:val="005729A2"/>
    <w:rsid w:val="00574575"/>
    <w:rsid w:val="00584385"/>
    <w:rsid w:val="00584D69"/>
    <w:rsid w:val="0058573F"/>
    <w:rsid w:val="0058763F"/>
    <w:rsid w:val="005904E9"/>
    <w:rsid w:val="00592107"/>
    <w:rsid w:val="0059327E"/>
    <w:rsid w:val="00595179"/>
    <w:rsid w:val="005A2991"/>
    <w:rsid w:val="005A3490"/>
    <w:rsid w:val="005A4A1F"/>
    <w:rsid w:val="005B1929"/>
    <w:rsid w:val="005B2623"/>
    <w:rsid w:val="005B4D6D"/>
    <w:rsid w:val="005B7661"/>
    <w:rsid w:val="005C0148"/>
    <w:rsid w:val="005C152A"/>
    <w:rsid w:val="005C1CF8"/>
    <w:rsid w:val="005C1E68"/>
    <w:rsid w:val="005C294E"/>
    <w:rsid w:val="005C4420"/>
    <w:rsid w:val="005C699A"/>
    <w:rsid w:val="005D00C8"/>
    <w:rsid w:val="005D0124"/>
    <w:rsid w:val="005D4101"/>
    <w:rsid w:val="005D454B"/>
    <w:rsid w:val="005D4BF2"/>
    <w:rsid w:val="005D6CD1"/>
    <w:rsid w:val="005D7690"/>
    <w:rsid w:val="005F1695"/>
    <w:rsid w:val="005F1DF1"/>
    <w:rsid w:val="005F51DC"/>
    <w:rsid w:val="005F7C17"/>
    <w:rsid w:val="00603F3E"/>
    <w:rsid w:val="00605193"/>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7097D"/>
    <w:rsid w:val="00674A53"/>
    <w:rsid w:val="006764E5"/>
    <w:rsid w:val="006767B4"/>
    <w:rsid w:val="00676E79"/>
    <w:rsid w:val="00681EF7"/>
    <w:rsid w:val="006827E9"/>
    <w:rsid w:val="00684B5C"/>
    <w:rsid w:val="0068542B"/>
    <w:rsid w:val="00696706"/>
    <w:rsid w:val="0069709B"/>
    <w:rsid w:val="006A06BB"/>
    <w:rsid w:val="006A2C2C"/>
    <w:rsid w:val="006A2EE6"/>
    <w:rsid w:val="006A3552"/>
    <w:rsid w:val="006A497F"/>
    <w:rsid w:val="006A6D39"/>
    <w:rsid w:val="006A6F1D"/>
    <w:rsid w:val="006A7594"/>
    <w:rsid w:val="006B2C72"/>
    <w:rsid w:val="006B519C"/>
    <w:rsid w:val="006B61A6"/>
    <w:rsid w:val="006B635F"/>
    <w:rsid w:val="006B7E72"/>
    <w:rsid w:val="006C2B35"/>
    <w:rsid w:val="006C3982"/>
    <w:rsid w:val="006C4E60"/>
    <w:rsid w:val="006C6419"/>
    <w:rsid w:val="006C6B01"/>
    <w:rsid w:val="006D498E"/>
    <w:rsid w:val="006D643A"/>
    <w:rsid w:val="006E2B28"/>
    <w:rsid w:val="006E54D8"/>
    <w:rsid w:val="006E56DE"/>
    <w:rsid w:val="006E7BF3"/>
    <w:rsid w:val="006F01CF"/>
    <w:rsid w:val="006F2029"/>
    <w:rsid w:val="006F3280"/>
    <w:rsid w:val="006F44B8"/>
    <w:rsid w:val="00701EE4"/>
    <w:rsid w:val="00707C56"/>
    <w:rsid w:val="00710B1A"/>
    <w:rsid w:val="007119DA"/>
    <w:rsid w:val="00712CD1"/>
    <w:rsid w:val="00714CEE"/>
    <w:rsid w:val="00723FB3"/>
    <w:rsid w:val="007245BF"/>
    <w:rsid w:val="00727299"/>
    <w:rsid w:val="00727449"/>
    <w:rsid w:val="00727944"/>
    <w:rsid w:val="00732EF9"/>
    <w:rsid w:val="00734DBF"/>
    <w:rsid w:val="0073582A"/>
    <w:rsid w:val="00737862"/>
    <w:rsid w:val="007425DE"/>
    <w:rsid w:val="00746E69"/>
    <w:rsid w:val="007503B2"/>
    <w:rsid w:val="007509EF"/>
    <w:rsid w:val="00753991"/>
    <w:rsid w:val="0075484B"/>
    <w:rsid w:val="00756788"/>
    <w:rsid w:val="00756A24"/>
    <w:rsid w:val="0076067C"/>
    <w:rsid w:val="00760A2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1B2"/>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3D50"/>
    <w:rsid w:val="007F47FE"/>
    <w:rsid w:val="007F5503"/>
    <w:rsid w:val="007F7234"/>
    <w:rsid w:val="00801D86"/>
    <w:rsid w:val="00802ABE"/>
    <w:rsid w:val="008036F2"/>
    <w:rsid w:val="008041F7"/>
    <w:rsid w:val="008050B5"/>
    <w:rsid w:val="0080542B"/>
    <w:rsid w:val="00805701"/>
    <w:rsid w:val="00807A99"/>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300F"/>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2947"/>
    <w:rsid w:val="008E45AB"/>
    <w:rsid w:val="008E563A"/>
    <w:rsid w:val="008E608F"/>
    <w:rsid w:val="008E68D9"/>
    <w:rsid w:val="008F0312"/>
    <w:rsid w:val="008F1B1E"/>
    <w:rsid w:val="008F28A3"/>
    <w:rsid w:val="008F34BF"/>
    <w:rsid w:val="008F6238"/>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4767A"/>
    <w:rsid w:val="00950AE0"/>
    <w:rsid w:val="0095259E"/>
    <w:rsid w:val="009550E2"/>
    <w:rsid w:val="00955C05"/>
    <w:rsid w:val="00957E6A"/>
    <w:rsid w:val="0096012F"/>
    <w:rsid w:val="00960536"/>
    <w:rsid w:val="00962359"/>
    <w:rsid w:val="009647A4"/>
    <w:rsid w:val="00964897"/>
    <w:rsid w:val="00971E34"/>
    <w:rsid w:val="00972493"/>
    <w:rsid w:val="00973986"/>
    <w:rsid w:val="00974569"/>
    <w:rsid w:val="009770C9"/>
    <w:rsid w:val="009907CB"/>
    <w:rsid w:val="00991856"/>
    <w:rsid w:val="00992AA2"/>
    <w:rsid w:val="009932E7"/>
    <w:rsid w:val="009944E3"/>
    <w:rsid w:val="00994739"/>
    <w:rsid w:val="00997479"/>
    <w:rsid w:val="009A12FF"/>
    <w:rsid w:val="009A3BFB"/>
    <w:rsid w:val="009A6B23"/>
    <w:rsid w:val="009A7545"/>
    <w:rsid w:val="009B0A53"/>
    <w:rsid w:val="009B1A8A"/>
    <w:rsid w:val="009B1E78"/>
    <w:rsid w:val="009B704B"/>
    <w:rsid w:val="009B7A3B"/>
    <w:rsid w:val="009C2D4B"/>
    <w:rsid w:val="009C4974"/>
    <w:rsid w:val="009D0196"/>
    <w:rsid w:val="009D1395"/>
    <w:rsid w:val="009D1933"/>
    <w:rsid w:val="009D2449"/>
    <w:rsid w:val="009D41DB"/>
    <w:rsid w:val="009D58F6"/>
    <w:rsid w:val="009D640D"/>
    <w:rsid w:val="009D66AE"/>
    <w:rsid w:val="009D70A4"/>
    <w:rsid w:val="009D7F81"/>
    <w:rsid w:val="009E0B0B"/>
    <w:rsid w:val="009E2548"/>
    <w:rsid w:val="009E74EF"/>
    <w:rsid w:val="009F030F"/>
    <w:rsid w:val="009F03E8"/>
    <w:rsid w:val="009F3154"/>
    <w:rsid w:val="009F6D1B"/>
    <w:rsid w:val="009F7DCB"/>
    <w:rsid w:val="00A00B55"/>
    <w:rsid w:val="00A0273C"/>
    <w:rsid w:val="00A04435"/>
    <w:rsid w:val="00A05286"/>
    <w:rsid w:val="00A05DFE"/>
    <w:rsid w:val="00A15065"/>
    <w:rsid w:val="00A16C4E"/>
    <w:rsid w:val="00A33709"/>
    <w:rsid w:val="00A36A2B"/>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65C4"/>
    <w:rsid w:val="00AB1F2F"/>
    <w:rsid w:val="00AB24FA"/>
    <w:rsid w:val="00AB2D94"/>
    <w:rsid w:val="00AB5D90"/>
    <w:rsid w:val="00AC20B1"/>
    <w:rsid w:val="00AD33B9"/>
    <w:rsid w:val="00AD4D46"/>
    <w:rsid w:val="00AD4EEC"/>
    <w:rsid w:val="00AE2655"/>
    <w:rsid w:val="00AE7D14"/>
    <w:rsid w:val="00AF1D7A"/>
    <w:rsid w:val="00B030A0"/>
    <w:rsid w:val="00B04E6D"/>
    <w:rsid w:val="00B0736B"/>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52FF5"/>
    <w:rsid w:val="00B533FA"/>
    <w:rsid w:val="00B534EF"/>
    <w:rsid w:val="00B541A1"/>
    <w:rsid w:val="00B55679"/>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2FBF"/>
    <w:rsid w:val="00B839E7"/>
    <w:rsid w:val="00B84555"/>
    <w:rsid w:val="00B86CE9"/>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C04C75"/>
    <w:rsid w:val="00C050EB"/>
    <w:rsid w:val="00C052F7"/>
    <w:rsid w:val="00C056FF"/>
    <w:rsid w:val="00C066C6"/>
    <w:rsid w:val="00C11307"/>
    <w:rsid w:val="00C129EB"/>
    <w:rsid w:val="00C12BA8"/>
    <w:rsid w:val="00C161B9"/>
    <w:rsid w:val="00C16254"/>
    <w:rsid w:val="00C16905"/>
    <w:rsid w:val="00C16D31"/>
    <w:rsid w:val="00C217E4"/>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67EA5"/>
    <w:rsid w:val="00C71ACF"/>
    <w:rsid w:val="00C72296"/>
    <w:rsid w:val="00C73950"/>
    <w:rsid w:val="00C73EC7"/>
    <w:rsid w:val="00C74CD4"/>
    <w:rsid w:val="00C74D8C"/>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4B2"/>
    <w:rsid w:val="00CE5AF9"/>
    <w:rsid w:val="00CE5B91"/>
    <w:rsid w:val="00CE7080"/>
    <w:rsid w:val="00CE775C"/>
    <w:rsid w:val="00CE7F03"/>
    <w:rsid w:val="00CF1702"/>
    <w:rsid w:val="00CF1763"/>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2FB7"/>
    <w:rsid w:val="00D347D1"/>
    <w:rsid w:val="00D36EC9"/>
    <w:rsid w:val="00D37571"/>
    <w:rsid w:val="00D407BA"/>
    <w:rsid w:val="00D44B02"/>
    <w:rsid w:val="00D450E4"/>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89E"/>
    <w:rsid w:val="00DF2DB3"/>
    <w:rsid w:val="00DF3A45"/>
    <w:rsid w:val="00DF3D63"/>
    <w:rsid w:val="00DF58FF"/>
    <w:rsid w:val="00DF6DE3"/>
    <w:rsid w:val="00DF6F84"/>
    <w:rsid w:val="00DF7EBA"/>
    <w:rsid w:val="00E04C32"/>
    <w:rsid w:val="00E11938"/>
    <w:rsid w:val="00E123E5"/>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7088D"/>
    <w:rsid w:val="00E763B4"/>
    <w:rsid w:val="00E80349"/>
    <w:rsid w:val="00E80DA0"/>
    <w:rsid w:val="00E815AD"/>
    <w:rsid w:val="00E831CE"/>
    <w:rsid w:val="00E846C2"/>
    <w:rsid w:val="00E85BA4"/>
    <w:rsid w:val="00E86AFC"/>
    <w:rsid w:val="00E91B8D"/>
    <w:rsid w:val="00E92F62"/>
    <w:rsid w:val="00E9494F"/>
    <w:rsid w:val="00E95577"/>
    <w:rsid w:val="00E97B11"/>
    <w:rsid w:val="00EA23C6"/>
    <w:rsid w:val="00EA37FC"/>
    <w:rsid w:val="00EA46EC"/>
    <w:rsid w:val="00EA7337"/>
    <w:rsid w:val="00EA76DA"/>
    <w:rsid w:val="00EB117C"/>
    <w:rsid w:val="00EB1D73"/>
    <w:rsid w:val="00EB352A"/>
    <w:rsid w:val="00EB3FCD"/>
    <w:rsid w:val="00EB4E03"/>
    <w:rsid w:val="00EB59FF"/>
    <w:rsid w:val="00EB5C7C"/>
    <w:rsid w:val="00EB61E5"/>
    <w:rsid w:val="00EB68EC"/>
    <w:rsid w:val="00EB7194"/>
    <w:rsid w:val="00EC1914"/>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3BEF"/>
    <w:rsid w:val="00F16863"/>
    <w:rsid w:val="00F16A5A"/>
    <w:rsid w:val="00F23F2F"/>
    <w:rsid w:val="00F30519"/>
    <w:rsid w:val="00F30745"/>
    <w:rsid w:val="00F3355E"/>
    <w:rsid w:val="00F33B9A"/>
    <w:rsid w:val="00F36873"/>
    <w:rsid w:val="00F3729D"/>
    <w:rsid w:val="00F448D5"/>
    <w:rsid w:val="00F44B06"/>
    <w:rsid w:val="00F5175B"/>
    <w:rsid w:val="00F57854"/>
    <w:rsid w:val="00F62202"/>
    <w:rsid w:val="00F62D76"/>
    <w:rsid w:val="00F634DE"/>
    <w:rsid w:val="00F6436B"/>
    <w:rsid w:val="00F653D5"/>
    <w:rsid w:val="00F657C8"/>
    <w:rsid w:val="00F70C6A"/>
    <w:rsid w:val="00F71E42"/>
    <w:rsid w:val="00F73215"/>
    <w:rsid w:val="00F7332D"/>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6BD0"/>
    <w:rsid w:val="00FA7C44"/>
    <w:rsid w:val="00FB050F"/>
    <w:rsid w:val="00FB2503"/>
    <w:rsid w:val="00FB4E39"/>
    <w:rsid w:val="00FB6846"/>
    <w:rsid w:val="00FC1C90"/>
    <w:rsid w:val="00FC284B"/>
    <w:rsid w:val="00FC3069"/>
    <w:rsid w:val="00FC60C9"/>
    <w:rsid w:val="00FC762A"/>
    <w:rsid w:val="00FC7CBB"/>
    <w:rsid w:val="00FD30B0"/>
    <w:rsid w:val="00FD44C5"/>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7F937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0" w:unhideWhenUsed="0"/>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EA23C6"/>
    <w:pPr>
      <w:keepNext/>
      <w:bidi/>
      <w:spacing w:before="180" w:after="60"/>
      <w:outlineLvl w:val="0"/>
    </w:pPr>
    <w:rPr>
      <w:rFonts w:ascii="Cambria" w:hAnsi="Cambria"/>
      <w:b/>
      <w:sz w:val="24"/>
      <w:szCs w:val="24"/>
      <w:u w:val="single"/>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character" w:styleId="CommentReference">
    <w:name w:val="annotation reference"/>
    <w:basedOn w:val="DefaultParagraphFont"/>
    <w:semiHidden/>
    <w:unhideWhenUsed/>
    <w:rsid w:val="00565D41"/>
    <w:rPr>
      <w:sz w:val="16"/>
      <w:szCs w:val="16"/>
    </w:rPr>
  </w:style>
  <w:style w:type="paragraph" w:customStyle="1" w:styleId="ATATableHeading">
    <w:name w:val="ATA Table Heading"/>
    <w:next w:val="ATABody"/>
    <w:link w:val="ATATableHeadingChar"/>
    <w:uiPriority w:val="34"/>
    <w:qFormat/>
    <w:rsid w:val="00246CBD"/>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246CBD"/>
    <w:rPr>
      <w:rFonts w:ascii="Cambria" w:hAnsi="Cambria"/>
      <w:color w:val="262626" w:themeColor="text1" w:themeTint="D9"/>
      <w:sz w:val="24"/>
      <w:szCs w:val="24"/>
    </w:rPr>
  </w:style>
  <w:style w:type="paragraph" w:customStyle="1" w:styleId="ATATableBody">
    <w:name w:val="ATA Table Body"/>
    <w:link w:val="ATATableBodyChar"/>
    <w:uiPriority w:val="34"/>
    <w:rsid w:val="00246CBD"/>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246CBD"/>
    <w:rPr>
      <w:rFonts w:ascii="Cambria" w:hAnsi="Cambria"/>
      <w:color w:val="262626" w:themeColor="text1" w:themeTint="D9"/>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0" w:unhideWhenUsed="0"/>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EA23C6"/>
    <w:pPr>
      <w:keepNext/>
      <w:bidi/>
      <w:spacing w:before="180" w:after="60"/>
      <w:outlineLvl w:val="0"/>
    </w:pPr>
    <w:rPr>
      <w:rFonts w:ascii="Cambria" w:hAnsi="Cambria"/>
      <w:b/>
      <w:sz w:val="24"/>
      <w:szCs w:val="24"/>
      <w:u w:val="single"/>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character" w:styleId="CommentReference">
    <w:name w:val="annotation reference"/>
    <w:basedOn w:val="DefaultParagraphFont"/>
    <w:semiHidden/>
    <w:unhideWhenUsed/>
    <w:rsid w:val="00565D41"/>
    <w:rPr>
      <w:sz w:val="16"/>
      <w:szCs w:val="16"/>
    </w:rPr>
  </w:style>
  <w:style w:type="paragraph" w:customStyle="1" w:styleId="ATATableHeading">
    <w:name w:val="ATA Table Heading"/>
    <w:next w:val="ATABody"/>
    <w:link w:val="ATATableHeadingChar"/>
    <w:uiPriority w:val="34"/>
    <w:qFormat/>
    <w:rsid w:val="00246CBD"/>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246CBD"/>
    <w:rPr>
      <w:rFonts w:ascii="Cambria" w:hAnsi="Cambria"/>
      <w:color w:val="262626" w:themeColor="text1" w:themeTint="D9"/>
      <w:sz w:val="24"/>
      <w:szCs w:val="24"/>
    </w:rPr>
  </w:style>
  <w:style w:type="paragraph" w:customStyle="1" w:styleId="ATATableBody">
    <w:name w:val="ATA Table Body"/>
    <w:link w:val="ATATableBodyChar"/>
    <w:uiPriority w:val="34"/>
    <w:rsid w:val="00246CBD"/>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246CBD"/>
    <w:rPr>
      <w:rFonts w:ascii="Cambria" w:hAnsi="Cambria"/>
      <w:color w:val="262626" w:themeColor="text1" w:themeTint="D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45BD809A-6D94-4507-922A-1C1A147CAB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3.xml><?xml version="1.0" encoding="utf-8"?>
<ds:datastoreItem xmlns:ds="http://schemas.openxmlformats.org/officeDocument/2006/customXml" ds:itemID="{A2C3158C-CCD9-449A-A15F-F010769B8475}">
  <ds:schemaRefs>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purl.org/dc/elements/1.1/"/>
    <ds:schemaRef ds:uri="http://purl.org/dc/term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1</TotalTime>
  <Pages>2</Pages>
  <Words>466</Words>
  <Characters>2659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Module 8: Surveillance Awareness: What You Can Do</vt:lpstr>
    </vt:vector>
  </TitlesOfParts>
  <Company>Office of Antiterrorism Assistance</Company>
  <LinksUpToDate>false</LinksUpToDate>
  <CharactersWithSpaces>3119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8: Surveillance Awareness: What You Can Do</dc:title>
  <dc:subject>Critical Infrastructure Security and Resilience (CISR)</dc:subject>
  <dc:creator>ATA</dc:creator>
  <cp:lastModifiedBy>RobinsKL</cp:lastModifiedBy>
  <cp:revision>2</cp:revision>
  <cp:lastPrinted>2013-12-04T12:49:00Z</cp:lastPrinted>
  <dcterms:created xsi:type="dcterms:W3CDTF">2017-10-20T19:02:00Z</dcterms:created>
  <dcterms:modified xsi:type="dcterms:W3CDTF">2017-10-20T19:02:00Z</dcterms:modified>
  <cp:category>Addendum 8.2: Indicators of Hostile Surveillance Activities</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