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8532D" w14:textId="3A8A2768" w:rsidR="00784314" w:rsidRPr="0082622B" w:rsidRDefault="00543AB6" w:rsidP="00784314">
      <w:pPr>
        <w:pStyle w:val="ATAModuleTitle"/>
        <w:spacing w:before="0" w:beforeAutospacing="0" w:after="0" w:afterAutospacing="0"/>
        <w:rPr>
          <w:rFonts w:asciiTheme="majorHAnsi" w:hAnsiTheme="majorHAnsi"/>
          <w:b w:val="0"/>
          <w:bCs/>
          <w:sz w:val="26"/>
          <w:szCs w:val="26"/>
        </w:rPr>
      </w:pPr>
      <w:bookmarkStart w:id="0" w:name="_GoBack"/>
      <w:r>
        <w:rPr>
          <w:noProof/>
        </w:rPr>
        <w:drawing>
          <wp:anchor distT="0" distB="0" distL="114300" distR="114300" simplePos="0" relativeHeight="251658240" behindDoc="0" locked="0" layoutInCell="1" allowOverlap="1" wp14:anchorId="3AD3463A" wp14:editId="6116A3FC">
            <wp:simplePos x="0" y="0"/>
            <wp:positionH relativeFrom="column">
              <wp:posOffset>5198110</wp:posOffset>
            </wp:positionH>
            <wp:positionV relativeFrom="paragraph">
              <wp:posOffset>41910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Pr="00543AB6">
        <w:rPr>
          <w:rFonts w:asciiTheme="majorHAnsi" w:hAnsiTheme="majorHAnsi"/>
          <w:b w:val="0"/>
          <w:bCs/>
          <w:sz w:val="26"/>
          <w:szCs w:val="26"/>
          <w:cs/>
          <w:lang w:bidi="ar-SA"/>
        </w:rPr>
        <w:t>الكتيب</w:t>
      </w:r>
      <w:r w:rsidRPr="00543AB6">
        <w:rPr>
          <w:rFonts w:asciiTheme="majorHAnsi" w:hAnsiTheme="majorHAnsi"/>
          <w:bCs/>
          <w:sz w:val="26"/>
          <w:szCs w:val="26"/>
        </w:rPr>
        <w:t xml:space="preserve"> </w:t>
      </w:r>
      <w:r w:rsidR="006B2C72" w:rsidRPr="0082622B">
        <w:rPr>
          <w:rFonts w:asciiTheme="majorHAnsi" w:hAnsiTheme="majorHAnsi"/>
          <w:b w:val="0"/>
          <w:bCs/>
          <w:sz w:val="26"/>
          <w:szCs w:val="26"/>
        </w:rPr>
        <w:t xml:space="preserve">11.2: التدابير الأمنية المضادة </w:t>
      </w:r>
    </w:p>
    <w:p w14:paraId="067B68F1" w14:textId="56571C49" w:rsidR="00B962A0" w:rsidRPr="0082622B" w:rsidRDefault="00C314B5" w:rsidP="00784314">
      <w:pPr>
        <w:pStyle w:val="ATAModuleTitle"/>
        <w:spacing w:before="0" w:beforeAutospacing="0" w:after="0" w:afterAutospacing="0"/>
        <w:rPr>
          <w:rFonts w:asciiTheme="majorHAnsi" w:hAnsiTheme="majorHAnsi"/>
          <w:b w:val="0"/>
          <w:bCs/>
          <w:sz w:val="26"/>
          <w:szCs w:val="26"/>
        </w:rPr>
      </w:pPr>
      <w:r w:rsidRPr="0082622B">
        <w:rPr>
          <w:rFonts w:asciiTheme="majorHAnsi" w:hAnsiTheme="majorHAnsi"/>
          <w:b w:val="0"/>
          <w:bCs/>
          <w:sz w:val="26"/>
          <w:szCs w:val="26"/>
        </w:rPr>
        <w:t>السياسات والإجراءات</w:t>
      </w:r>
    </w:p>
    <w:tbl>
      <w:tblPr>
        <w:bidiVisual/>
        <w:tblW w:w="0" w:type="auto"/>
        <w:tblInd w:w="108" w:type="dxa"/>
        <w:tblLook w:val="04A0" w:firstRow="1" w:lastRow="0" w:firstColumn="1" w:lastColumn="0" w:noHBand="0" w:noVBand="1"/>
      </w:tblPr>
      <w:tblGrid>
        <w:gridCol w:w="2465"/>
        <w:gridCol w:w="6175"/>
      </w:tblGrid>
      <w:tr w:rsidR="00131390" w:rsidRPr="0082622B" w14:paraId="136BD994" w14:textId="77777777" w:rsidTr="00A26363">
        <w:tc>
          <w:tcPr>
            <w:tcW w:w="2465" w:type="dxa"/>
            <w:shd w:val="clear" w:color="auto" w:fill="auto"/>
          </w:tcPr>
          <w:p w14:paraId="523A982D" w14:textId="77777777" w:rsidR="00131390" w:rsidRPr="0082622B" w:rsidRDefault="00131390" w:rsidP="00784314">
            <w:pPr>
              <w:spacing w:before="120"/>
              <w:rPr>
                <w:rFonts w:asciiTheme="majorHAnsi" w:hAnsiTheme="majorHAnsi"/>
                <w:b/>
                <w:sz w:val="26"/>
                <w:szCs w:val="26"/>
              </w:rPr>
            </w:pPr>
            <w:r w:rsidRPr="0082622B">
              <w:rPr>
                <w:rFonts w:asciiTheme="majorHAnsi" w:hAnsiTheme="majorHAnsi"/>
                <w:b/>
                <w:bCs/>
                <w:sz w:val="26"/>
                <w:szCs w:val="26"/>
              </w:rPr>
              <w:t>الغرض:</w:t>
            </w:r>
          </w:p>
        </w:tc>
        <w:tc>
          <w:tcPr>
            <w:tcW w:w="6175" w:type="dxa"/>
            <w:shd w:val="clear" w:color="auto" w:fill="auto"/>
          </w:tcPr>
          <w:p w14:paraId="2CECCC71" w14:textId="12639597" w:rsidR="00131390" w:rsidRPr="0082622B" w:rsidRDefault="00131390" w:rsidP="00784314">
            <w:pPr>
              <w:pStyle w:val="ATABody"/>
              <w:spacing w:before="120"/>
              <w:rPr>
                <w:sz w:val="26"/>
                <w:szCs w:val="26"/>
              </w:rPr>
            </w:pPr>
            <w:r w:rsidRPr="0082622B">
              <w:rPr>
                <w:sz w:val="26"/>
                <w:szCs w:val="26"/>
              </w:rPr>
              <w:t>توفير المعلومات عن التدابير الأمنية المضادة المختارة والتي تتطلب السياسات والإجراءات</w:t>
            </w:r>
          </w:p>
        </w:tc>
      </w:tr>
    </w:tbl>
    <w:p w14:paraId="7442B4CB" w14:textId="19CBC299" w:rsidR="006859BB" w:rsidRPr="0082622B" w:rsidRDefault="00DE3993" w:rsidP="00495EB4">
      <w:pPr>
        <w:pStyle w:val="ATAHeadingLevel1"/>
        <w:rPr>
          <w:b w:val="0"/>
          <w:bCs/>
          <w:sz w:val="26"/>
          <w:szCs w:val="26"/>
        </w:rPr>
      </w:pPr>
      <w:r w:rsidRPr="0082622B">
        <w:rPr>
          <w:b w:val="0"/>
          <w:bCs/>
          <w:sz w:val="26"/>
          <w:szCs w:val="26"/>
        </w:rPr>
        <w:t>القسم 1: معلومات حول حواجز المحيط الأمني</w:t>
      </w:r>
    </w:p>
    <w:p w14:paraId="3ECE76D2" w14:textId="7D51F5BD" w:rsidR="003C0A0B" w:rsidRPr="0082622B" w:rsidRDefault="003C0A0B" w:rsidP="003C0A0B">
      <w:pPr>
        <w:pStyle w:val="ATABody"/>
        <w:rPr>
          <w:sz w:val="26"/>
          <w:szCs w:val="26"/>
        </w:rPr>
      </w:pPr>
      <w:r w:rsidRPr="0082622B">
        <w:rPr>
          <w:sz w:val="26"/>
          <w:szCs w:val="26"/>
        </w:rPr>
        <w:t>بالإضافة إلى المعايير الخاصة بالسياج، هناك مقاييس يجب إدراجها في السياسات والإجراءات الخاصة بحواجز المحيط الأمني مثل الأبواب والنوافذ وسائر مناطق المنشأة بما في ذلك، على سبيل الذكر لا الحصر، الأسقف، ومنصات التحميل والتفريغ، والمرافق العامة، وأنظمة تكييف الهواء.</w:t>
      </w:r>
    </w:p>
    <w:p w14:paraId="067B68F4" w14:textId="3C732D9A" w:rsidR="00B962A0" w:rsidRPr="0082622B" w:rsidRDefault="00B962A0" w:rsidP="006859BB">
      <w:pPr>
        <w:pStyle w:val="ATAHeadingLevel2"/>
        <w:rPr>
          <w:b w:val="0"/>
          <w:bCs/>
          <w:sz w:val="26"/>
          <w:szCs w:val="26"/>
        </w:rPr>
      </w:pPr>
      <w:r w:rsidRPr="0082622B">
        <w:rPr>
          <w:b w:val="0"/>
          <w:bCs/>
          <w:sz w:val="26"/>
          <w:szCs w:val="26"/>
        </w:rPr>
        <w:t>المعايير الخاصة بالأبواب</w:t>
      </w:r>
    </w:p>
    <w:tbl>
      <w:tblPr>
        <w:bidiVisual/>
        <w:tblW w:w="5000" w:type="pct"/>
        <w:tblCellMar>
          <w:left w:w="0" w:type="dxa"/>
          <w:right w:w="0" w:type="dxa"/>
        </w:tblCellMar>
        <w:tblLook w:val="0600" w:firstRow="0" w:lastRow="0" w:firstColumn="0" w:lastColumn="0" w:noHBand="1" w:noVBand="1"/>
      </w:tblPr>
      <w:tblGrid>
        <w:gridCol w:w="2001"/>
        <w:gridCol w:w="6859"/>
      </w:tblGrid>
      <w:tr w:rsidR="00B962A0" w:rsidRPr="0082622B" w14:paraId="067B68F8" w14:textId="77777777" w:rsidTr="007406CB">
        <w:tc>
          <w:tcPr>
            <w:tcW w:w="112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8F6" w14:textId="4C720C11" w:rsidR="00B962A0" w:rsidRPr="0082622B" w:rsidRDefault="006859BB" w:rsidP="00CB2F7E">
            <w:pPr>
              <w:pStyle w:val="ATATableHeading"/>
              <w:rPr>
                <w:sz w:val="26"/>
                <w:szCs w:val="26"/>
              </w:rPr>
            </w:pPr>
            <w:r w:rsidRPr="0082622B">
              <w:rPr>
                <w:sz w:val="26"/>
                <w:szCs w:val="26"/>
              </w:rPr>
              <w:t>الأبواب الخارجية</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8F7" w14:textId="77777777" w:rsidR="00B962A0" w:rsidRPr="0082622B" w:rsidRDefault="00B962A0" w:rsidP="00495EB4">
            <w:pPr>
              <w:pStyle w:val="ATATableBody"/>
              <w:rPr>
                <w:sz w:val="26"/>
                <w:szCs w:val="26"/>
              </w:rPr>
            </w:pPr>
            <w:r w:rsidRPr="0082622B">
              <w:rPr>
                <w:sz w:val="26"/>
                <w:szCs w:val="26"/>
              </w:rPr>
              <w:t>يتعين تركيب أبواب خارجية مصنوعة من خشب صلب، أو معدن، أو مادة صلبة من ألياف اللدائن، أو مادة صلبة تتكون من رقائق أو شرائح معدنية متعددة.</w:t>
            </w:r>
          </w:p>
        </w:tc>
      </w:tr>
      <w:tr w:rsidR="00B962A0" w:rsidRPr="0082622B" w14:paraId="067B68FB" w14:textId="77777777" w:rsidTr="007406CB">
        <w:tc>
          <w:tcPr>
            <w:tcW w:w="1129" w:type="pct"/>
            <w:vMerge/>
            <w:tcBorders>
              <w:left w:val="single" w:sz="8" w:space="0" w:color="000000"/>
              <w:right w:val="single" w:sz="8" w:space="0" w:color="000000"/>
            </w:tcBorders>
            <w:vAlign w:val="center"/>
            <w:hideMark/>
          </w:tcPr>
          <w:p w14:paraId="067B68F9" w14:textId="77777777" w:rsidR="00B962A0" w:rsidRPr="0082622B" w:rsidRDefault="00B962A0" w:rsidP="00495EB4">
            <w:pPr>
              <w:pStyle w:val="ATATableHeading"/>
              <w:rPr>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8FA" w14:textId="77777777" w:rsidR="00B962A0" w:rsidRPr="0082622B" w:rsidRDefault="00B962A0" w:rsidP="00495EB4">
            <w:pPr>
              <w:pStyle w:val="ATATableBody"/>
              <w:rPr>
                <w:sz w:val="26"/>
                <w:szCs w:val="26"/>
              </w:rPr>
            </w:pPr>
            <w:r w:rsidRPr="0082622B">
              <w:rPr>
                <w:sz w:val="26"/>
                <w:szCs w:val="26"/>
              </w:rPr>
              <w:t>ويتم تدعيم الخشب الصلب بصفائح من الصلب المقسى المثبت على السطح الخارجي للباب.</w:t>
            </w:r>
          </w:p>
        </w:tc>
      </w:tr>
      <w:tr w:rsidR="00B962A0" w:rsidRPr="0082622B" w14:paraId="067B68FE" w14:textId="77777777" w:rsidTr="007406CB">
        <w:tc>
          <w:tcPr>
            <w:tcW w:w="1129" w:type="pct"/>
            <w:vMerge/>
            <w:tcBorders>
              <w:left w:val="single" w:sz="8" w:space="0" w:color="000000"/>
              <w:right w:val="single" w:sz="8" w:space="0" w:color="000000"/>
            </w:tcBorders>
            <w:vAlign w:val="center"/>
            <w:hideMark/>
          </w:tcPr>
          <w:p w14:paraId="067B68FC" w14:textId="77777777" w:rsidR="00B962A0" w:rsidRPr="0082622B" w:rsidRDefault="00B962A0" w:rsidP="00495EB4">
            <w:pPr>
              <w:pStyle w:val="ATATableHeading"/>
              <w:rPr>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8FD" w14:textId="77777777" w:rsidR="00B962A0" w:rsidRPr="0082622B" w:rsidRDefault="00B962A0" w:rsidP="00495EB4">
            <w:pPr>
              <w:pStyle w:val="ATATableBody"/>
              <w:rPr>
                <w:sz w:val="26"/>
                <w:szCs w:val="26"/>
              </w:rPr>
            </w:pPr>
            <w:r w:rsidRPr="0082622B">
              <w:rPr>
                <w:sz w:val="26"/>
                <w:szCs w:val="26"/>
              </w:rPr>
              <w:t>يتم تصميم الأبواب الخارجية بحيث تُفتح إلى الخارج.</w:t>
            </w:r>
          </w:p>
        </w:tc>
      </w:tr>
      <w:tr w:rsidR="00B962A0" w:rsidRPr="0082622B" w14:paraId="067B6901" w14:textId="77777777" w:rsidTr="007406CB">
        <w:tc>
          <w:tcPr>
            <w:tcW w:w="1129" w:type="pct"/>
            <w:vMerge/>
            <w:tcBorders>
              <w:left w:val="single" w:sz="8" w:space="0" w:color="000000"/>
              <w:right w:val="single" w:sz="8" w:space="0" w:color="000000"/>
            </w:tcBorders>
            <w:vAlign w:val="center"/>
            <w:hideMark/>
          </w:tcPr>
          <w:p w14:paraId="067B68FF" w14:textId="77777777" w:rsidR="00B962A0" w:rsidRPr="0082622B" w:rsidRDefault="00B962A0" w:rsidP="00495EB4">
            <w:pPr>
              <w:pStyle w:val="ATATableHeading"/>
              <w:rPr>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0" w14:textId="77777777" w:rsidR="00B962A0" w:rsidRPr="0082622B" w:rsidRDefault="00B962A0" w:rsidP="00495EB4">
            <w:pPr>
              <w:pStyle w:val="ATATableBody"/>
              <w:rPr>
                <w:sz w:val="26"/>
                <w:szCs w:val="26"/>
              </w:rPr>
            </w:pPr>
            <w:r w:rsidRPr="0082622B">
              <w:rPr>
                <w:sz w:val="26"/>
                <w:szCs w:val="26"/>
              </w:rPr>
              <w:t>تغطية مفصلات الأبواب الخارجية بحيث يتعذر نزع مسمار المفصلات</w:t>
            </w:r>
          </w:p>
        </w:tc>
      </w:tr>
      <w:tr w:rsidR="00B962A0" w:rsidRPr="0082622B" w14:paraId="067B6904" w14:textId="77777777" w:rsidTr="007406CB">
        <w:tc>
          <w:tcPr>
            <w:tcW w:w="1129" w:type="pct"/>
            <w:vMerge/>
            <w:tcBorders>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02" w14:textId="77777777" w:rsidR="00B962A0" w:rsidRPr="0082622B" w:rsidRDefault="00B962A0" w:rsidP="00495EB4">
            <w:pPr>
              <w:pStyle w:val="ATATableHeading"/>
              <w:rPr>
                <w:rFonts w:cs="Arial"/>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3" w14:textId="77777777" w:rsidR="00B962A0" w:rsidRPr="0082622B" w:rsidRDefault="00B962A0" w:rsidP="00495EB4">
            <w:pPr>
              <w:pStyle w:val="ATATableBody"/>
              <w:rPr>
                <w:rFonts w:cs="Arial"/>
                <w:sz w:val="26"/>
                <w:szCs w:val="26"/>
              </w:rPr>
            </w:pPr>
            <w:r w:rsidRPr="0082622B">
              <w:rPr>
                <w:color w:val="000000" w:themeColor="text1"/>
                <w:kern w:val="24"/>
                <w:sz w:val="26"/>
                <w:szCs w:val="26"/>
              </w:rPr>
              <w:t>ضمان أن الأبواب محكمة الإغلاق ومزودة بأقفال مناسبة.</w:t>
            </w:r>
          </w:p>
        </w:tc>
      </w:tr>
      <w:tr w:rsidR="00B962A0" w:rsidRPr="0082622B" w14:paraId="067B6907" w14:textId="77777777" w:rsidTr="007406CB">
        <w:tc>
          <w:tcPr>
            <w:tcW w:w="1129" w:type="pct"/>
            <w:vMerge/>
            <w:tcBorders>
              <w:left w:val="single" w:sz="8" w:space="0" w:color="000000"/>
              <w:right w:val="single" w:sz="8" w:space="0" w:color="000000"/>
            </w:tcBorders>
            <w:vAlign w:val="center"/>
            <w:hideMark/>
          </w:tcPr>
          <w:p w14:paraId="067B6905" w14:textId="77777777" w:rsidR="00B962A0" w:rsidRPr="0082622B" w:rsidRDefault="00B962A0" w:rsidP="00495EB4">
            <w:pPr>
              <w:pStyle w:val="ATATableHeading"/>
              <w:rPr>
                <w:rFonts w:cs="Arial"/>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6" w14:textId="77777777" w:rsidR="00B962A0" w:rsidRPr="0082622B" w:rsidRDefault="00B962A0" w:rsidP="00495EB4">
            <w:pPr>
              <w:pStyle w:val="ATATableBody"/>
              <w:rPr>
                <w:rFonts w:cs="Arial"/>
                <w:sz w:val="26"/>
                <w:szCs w:val="26"/>
              </w:rPr>
            </w:pPr>
            <w:r w:rsidRPr="0082622B">
              <w:rPr>
                <w:color w:val="000000" w:themeColor="text1"/>
                <w:kern w:val="24"/>
                <w:sz w:val="26"/>
                <w:szCs w:val="26"/>
              </w:rPr>
              <w:t>إحكام إغلاق أو حماية فتحات تسليم الخطابات والأبواب غير المستخدمة.</w:t>
            </w:r>
          </w:p>
        </w:tc>
      </w:tr>
      <w:tr w:rsidR="00B962A0" w:rsidRPr="0082622B" w14:paraId="067B690A" w14:textId="77777777" w:rsidTr="007406CB">
        <w:tc>
          <w:tcPr>
            <w:tcW w:w="1129" w:type="pct"/>
            <w:vMerge/>
            <w:tcBorders>
              <w:left w:val="single" w:sz="8" w:space="0" w:color="000000"/>
              <w:bottom w:val="single" w:sz="8" w:space="0" w:color="000000"/>
              <w:right w:val="single" w:sz="8" w:space="0" w:color="000000"/>
            </w:tcBorders>
            <w:vAlign w:val="center"/>
            <w:hideMark/>
          </w:tcPr>
          <w:p w14:paraId="067B6908" w14:textId="77777777" w:rsidR="00B962A0" w:rsidRPr="0082622B" w:rsidRDefault="00B962A0" w:rsidP="00495EB4">
            <w:pPr>
              <w:pStyle w:val="ATATableHeading"/>
              <w:rPr>
                <w:rFonts w:cs="Arial"/>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9" w14:textId="77777777" w:rsidR="00B962A0" w:rsidRPr="0082622B" w:rsidRDefault="00B962A0" w:rsidP="00495EB4">
            <w:pPr>
              <w:pStyle w:val="ATATableBody"/>
              <w:rPr>
                <w:rFonts w:cs="Arial"/>
                <w:sz w:val="26"/>
                <w:szCs w:val="26"/>
              </w:rPr>
            </w:pPr>
            <w:r w:rsidRPr="0082622B">
              <w:rPr>
                <w:color w:val="000000" w:themeColor="text1"/>
                <w:kern w:val="24"/>
                <w:sz w:val="26"/>
                <w:szCs w:val="26"/>
              </w:rPr>
              <w:t xml:space="preserve">تركيب عوارض معدنية أفقية لإغلاق الباب من الداخل. </w:t>
            </w:r>
          </w:p>
        </w:tc>
      </w:tr>
      <w:tr w:rsidR="00B962A0" w:rsidRPr="0082622B" w14:paraId="067B690D"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0B" w14:textId="0453F118" w:rsidR="00B962A0" w:rsidRPr="0082622B" w:rsidRDefault="006859BB" w:rsidP="00495EB4">
            <w:pPr>
              <w:pStyle w:val="ATATableHeading"/>
              <w:rPr>
                <w:rFonts w:cs="Arial"/>
                <w:sz w:val="26"/>
                <w:szCs w:val="26"/>
              </w:rPr>
            </w:pPr>
            <w:r w:rsidRPr="0082622B">
              <w:rPr>
                <w:color w:val="000000" w:themeColor="text1"/>
                <w:kern w:val="24"/>
                <w:sz w:val="26"/>
                <w:szCs w:val="26"/>
              </w:rPr>
              <w:t>الأبواب المدعمة بالألياف المعدنية</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C" w14:textId="77777777" w:rsidR="00B962A0" w:rsidRPr="0082622B" w:rsidRDefault="00B962A0" w:rsidP="00495EB4">
            <w:pPr>
              <w:pStyle w:val="ATATableBody"/>
              <w:rPr>
                <w:rFonts w:cs="Arial"/>
                <w:sz w:val="26"/>
                <w:szCs w:val="26"/>
              </w:rPr>
            </w:pPr>
            <w:r w:rsidRPr="0082622B">
              <w:rPr>
                <w:color w:val="000000" w:themeColor="text1"/>
                <w:kern w:val="24"/>
                <w:sz w:val="26"/>
                <w:szCs w:val="26"/>
              </w:rPr>
              <w:t>تقسى الأبواب بإضافة شبكة من الفولاذ</w:t>
            </w:r>
          </w:p>
        </w:tc>
      </w:tr>
      <w:tr w:rsidR="00B962A0" w:rsidRPr="0082622B" w14:paraId="067B6910"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0E" w14:textId="0A2E388E" w:rsidR="00B962A0" w:rsidRPr="0082622B" w:rsidRDefault="006859BB" w:rsidP="00495EB4">
            <w:pPr>
              <w:pStyle w:val="ATATableHeading"/>
              <w:rPr>
                <w:rFonts w:cs="Arial"/>
                <w:sz w:val="26"/>
                <w:szCs w:val="26"/>
              </w:rPr>
            </w:pPr>
            <w:r w:rsidRPr="0082622B">
              <w:rPr>
                <w:color w:val="000000" w:themeColor="text1"/>
                <w:kern w:val="24"/>
                <w:sz w:val="26"/>
                <w:szCs w:val="26"/>
              </w:rPr>
              <w:t>الأبواب المزدوجة</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F" w14:textId="77777777" w:rsidR="00B962A0" w:rsidRPr="0082622B" w:rsidRDefault="00B962A0" w:rsidP="00495EB4">
            <w:pPr>
              <w:pStyle w:val="ATATableBody"/>
              <w:rPr>
                <w:rFonts w:cs="Arial"/>
                <w:sz w:val="26"/>
                <w:szCs w:val="26"/>
              </w:rPr>
            </w:pPr>
            <w:r w:rsidRPr="0082622B">
              <w:rPr>
                <w:color w:val="000000" w:themeColor="text1"/>
                <w:kern w:val="24"/>
                <w:sz w:val="26"/>
                <w:szCs w:val="26"/>
              </w:rPr>
              <w:t>يتم تثبيت مقابض للشريحة الأولى من الباب مع إضافة قفل آخر لتعزيز الإغلاق.</w:t>
            </w:r>
          </w:p>
        </w:tc>
      </w:tr>
      <w:tr w:rsidR="00B962A0" w:rsidRPr="0082622B" w14:paraId="067B6913"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1" w14:textId="660C4CD6" w:rsidR="00B962A0" w:rsidRPr="0082622B" w:rsidRDefault="006859BB" w:rsidP="00495EB4">
            <w:pPr>
              <w:pStyle w:val="ATATableHeading"/>
              <w:rPr>
                <w:rFonts w:cs="Arial"/>
                <w:sz w:val="26"/>
                <w:szCs w:val="26"/>
              </w:rPr>
            </w:pPr>
            <w:r w:rsidRPr="0082622B">
              <w:rPr>
                <w:color w:val="000000" w:themeColor="text1"/>
                <w:kern w:val="24"/>
                <w:sz w:val="26"/>
                <w:szCs w:val="26"/>
              </w:rPr>
              <w:t>أبواب ربط الممرات</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2" w14:textId="0B4B5C28" w:rsidR="00B962A0" w:rsidRPr="0082622B" w:rsidRDefault="00B962A0" w:rsidP="00F31B4E">
            <w:pPr>
              <w:pStyle w:val="ATATableBody"/>
              <w:rPr>
                <w:rFonts w:cs="Arial"/>
                <w:sz w:val="26"/>
                <w:szCs w:val="26"/>
              </w:rPr>
            </w:pPr>
            <w:r w:rsidRPr="0082622B">
              <w:rPr>
                <w:color w:val="000000" w:themeColor="text1"/>
                <w:kern w:val="24"/>
                <w:sz w:val="26"/>
                <w:szCs w:val="26"/>
              </w:rPr>
              <w:t>يتم تطبيق نفس أسلوب التعزيزات المستخدم مع الأبواب الخارجية</w:t>
            </w:r>
          </w:p>
        </w:tc>
      </w:tr>
      <w:tr w:rsidR="00B962A0" w:rsidRPr="0082622B" w14:paraId="067B6916"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4" w14:textId="12589469" w:rsidR="00B962A0" w:rsidRPr="0082622B" w:rsidRDefault="006859BB" w:rsidP="00495EB4">
            <w:pPr>
              <w:pStyle w:val="ATATableHeading"/>
              <w:rPr>
                <w:rFonts w:cs="Arial"/>
                <w:sz w:val="26"/>
                <w:szCs w:val="26"/>
              </w:rPr>
            </w:pPr>
            <w:r w:rsidRPr="0082622B">
              <w:rPr>
                <w:color w:val="000000" w:themeColor="text1"/>
                <w:kern w:val="24"/>
                <w:sz w:val="26"/>
                <w:szCs w:val="26"/>
              </w:rPr>
              <w:t>الأبواب الداخلية</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5" w14:textId="58235666" w:rsidR="00B962A0" w:rsidRPr="0082622B" w:rsidRDefault="009F3703" w:rsidP="00495EB4">
            <w:pPr>
              <w:pStyle w:val="ATATableBody"/>
              <w:rPr>
                <w:rFonts w:cs="Arial"/>
                <w:sz w:val="26"/>
                <w:szCs w:val="26"/>
              </w:rPr>
            </w:pPr>
            <w:r w:rsidRPr="0082622B">
              <w:rPr>
                <w:rFonts w:hint="cs"/>
                <w:color w:val="000000" w:themeColor="text1"/>
                <w:kern w:val="24"/>
                <w:sz w:val="26"/>
                <w:szCs w:val="26"/>
              </w:rPr>
              <w:t>الاحتفاظ</w:t>
            </w:r>
            <w:r w:rsidR="00B962A0" w:rsidRPr="0082622B">
              <w:rPr>
                <w:color w:val="000000" w:themeColor="text1"/>
                <w:kern w:val="24"/>
                <w:sz w:val="26"/>
                <w:szCs w:val="26"/>
              </w:rPr>
              <w:t xml:space="preserve"> بمفاتيح الأقفال في مكان آمن </w:t>
            </w:r>
          </w:p>
        </w:tc>
      </w:tr>
      <w:tr w:rsidR="00B962A0" w:rsidRPr="0082622B" w14:paraId="067B6919"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7" w14:textId="64BDA3B4" w:rsidR="00B962A0" w:rsidRPr="0082622B" w:rsidRDefault="006859BB" w:rsidP="00495EB4">
            <w:pPr>
              <w:pStyle w:val="ATATableHeading"/>
              <w:rPr>
                <w:rFonts w:cs="Arial"/>
                <w:sz w:val="26"/>
                <w:szCs w:val="26"/>
              </w:rPr>
            </w:pPr>
            <w:r w:rsidRPr="0082622B">
              <w:rPr>
                <w:color w:val="000000" w:themeColor="text1"/>
                <w:kern w:val="24"/>
                <w:sz w:val="26"/>
                <w:szCs w:val="26"/>
              </w:rPr>
              <w:t>منافذ خروج الطوارئ</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8" w14:textId="77777777" w:rsidR="00B962A0" w:rsidRPr="0082622B" w:rsidRDefault="00B962A0" w:rsidP="00495EB4">
            <w:pPr>
              <w:pStyle w:val="ATATableBody"/>
              <w:rPr>
                <w:rFonts w:cs="Arial"/>
                <w:sz w:val="26"/>
                <w:szCs w:val="26"/>
              </w:rPr>
            </w:pPr>
            <w:r w:rsidRPr="0082622B">
              <w:rPr>
                <w:color w:val="000000" w:themeColor="text1"/>
                <w:kern w:val="24"/>
                <w:sz w:val="26"/>
                <w:szCs w:val="26"/>
              </w:rPr>
              <w:t xml:space="preserve">ضمان مطابقة المواصفات للوائح الإدارات المحلية لمكافحة الحريق </w:t>
            </w:r>
          </w:p>
        </w:tc>
      </w:tr>
      <w:tr w:rsidR="00B962A0" w:rsidRPr="0082622B" w14:paraId="067B691C"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A" w14:textId="19F0018A" w:rsidR="00B962A0" w:rsidRPr="0082622B" w:rsidRDefault="006859BB" w:rsidP="00495EB4">
            <w:pPr>
              <w:pStyle w:val="ATATableHeading"/>
              <w:rPr>
                <w:rFonts w:cs="Arial"/>
                <w:sz w:val="26"/>
                <w:szCs w:val="26"/>
              </w:rPr>
            </w:pPr>
            <w:r w:rsidRPr="0082622B">
              <w:rPr>
                <w:color w:val="000000" w:themeColor="text1"/>
                <w:kern w:val="24"/>
                <w:sz w:val="26"/>
                <w:szCs w:val="26"/>
              </w:rPr>
              <w:t>هياكل إطارات الأبواب</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B" w14:textId="77777777" w:rsidR="00B962A0" w:rsidRPr="0082622B" w:rsidRDefault="00B962A0" w:rsidP="00495EB4">
            <w:pPr>
              <w:pStyle w:val="ATATableBody"/>
              <w:rPr>
                <w:rFonts w:cs="Arial"/>
                <w:sz w:val="26"/>
                <w:szCs w:val="26"/>
              </w:rPr>
            </w:pPr>
            <w:r w:rsidRPr="0082622B">
              <w:rPr>
                <w:color w:val="000000" w:themeColor="text1"/>
                <w:kern w:val="24"/>
                <w:sz w:val="26"/>
                <w:szCs w:val="26"/>
              </w:rPr>
              <w:t>يتم تعزيز الإطار وملحقاته التثبيتية في الهيكل الإنشائي المحيط بالباب</w:t>
            </w:r>
          </w:p>
        </w:tc>
      </w:tr>
      <w:tr w:rsidR="00B962A0" w:rsidRPr="0082622B" w14:paraId="067B691F" w14:textId="77777777" w:rsidTr="007406CB">
        <w:tc>
          <w:tcPr>
            <w:tcW w:w="112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D" w14:textId="3811B5C2" w:rsidR="00B962A0" w:rsidRPr="0082622B" w:rsidRDefault="006859BB" w:rsidP="00495EB4">
            <w:pPr>
              <w:pStyle w:val="ATATableHeading"/>
              <w:rPr>
                <w:rFonts w:cs="Arial"/>
                <w:sz w:val="26"/>
                <w:szCs w:val="26"/>
              </w:rPr>
            </w:pPr>
            <w:r w:rsidRPr="0082622B">
              <w:rPr>
                <w:color w:val="000000" w:themeColor="text1"/>
                <w:kern w:val="24"/>
                <w:sz w:val="26"/>
                <w:szCs w:val="26"/>
              </w:rPr>
              <w:t>ترابيس الأبواب</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E" w14:textId="77777777" w:rsidR="00B962A0" w:rsidRPr="0082622B" w:rsidRDefault="00B962A0" w:rsidP="00495EB4">
            <w:pPr>
              <w:pStyle w:val="ATATableBody"/>
              <w:rPr>
                <w:rFonts w:cs="Arial"/>
                <w:sz w:val="26"/>
                <w:szCs w:val="26"/>
              </w:rPr>
            </w:pPr>
            <w:r w:rsidRPr="0082622B">
              <w:rPr>
                <w:color w:val="000000" w:themeColor="text1"/>
                <w:kern w:val="24"/>
                <w:sz w:val="26"/>
                <w:szCs w:val="26"/>
              </w:rPr>
              <w:t>استخدام مقابض بها أقفال مؤمّنة ومزدوجة في نظام إحكام ثنائي</w:t>
            </w:r>
          </w:p>
        </w:tc>
      </w:tr>
      <w:tr w:rsidR="00B962A0" w:rsidRPr="0082622B" w14:paraId="067B6922" w14:textId="77777777" w:rsidTr="007406CB">
        <w:tc>
          <w:tcPr>
            <w:tcW w:w="1129" w:type="pct"/>
            <w:vMerge/>
            <w:tcBorders>
              <w:top w:val="single" w:sz="8" w:space="0" w:color="000000"/>
              <w:left w:val="single" w:sz="8" w:space="0" w:color="000000"/>
              <w:bottom w:val="single" w:sz="8" w:space="0" w:color="000000"/>
              <w:right w:val="single" w:sz="8" w:space="0" w:color="000000"/>
            </w:tcBorders>
            <w:vAlign w:val="center"/>
            <w:hideMark/>
          </w:tcPr>
          <w:p w14:paraId="067B6920" w14:textId="77777777" w:rsidR="00B962A0" w:rsidRPr="0082622B" w:rsidRDefault="00B962A0" w:rsidP="007406CB">
            <w:pPr>
              <w:rPr>
                <w:rFonts w:asciiTheme="majorHAnsi" w:hAnsiTheme="majorHAnsi" w:cs="Arial"/>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1" w14:textId="77777777" w:rsidR="00B962A0" w:rsidRPr="0082622B" w:rsidRDefault="00B962A0" w:rsidP="00495EB4">
            <w:pPr>
              <w:pStyle w:val="ATATableBody"/>
              <w:rPr>
                <w:rFonts w:cs="Arial"/>
                <w:sz w:val="26"/>
                <w:szCs w:val="26"/>
              </w:rPr>
            </w:pPr>
            <w:r w:rsidRPr="0082622B">
              <w:rPr>
                <w:color w:val="000000" w:themeColor="text1"/>
                <w:kern w:val="24"/>
                <w:sz w:val="26"/>
                <w:szCs w:val="26"/>
              </w:rPr>
              <w:t>ضمان أن المقابض لا يمكن أن تُفتح من خارج الباب</w:t>
            </w:r>
          </w:p>
        </w:tc>
      </w:tr>
      <w:tr w:rsidR="00B962A0" w:rsidRPr="0082622B" w14:paraId="067B6925" w14:textId="77777777" w:rsidTr="007406CB">
        <w:tc>
          <w:tcPr>
            <w:tcW w:w="1129" w:type="pct"/>
            <w:vMerge/>
            <w:tcBorders>
              <w:top w:val="single" w:sz="8" w:space="0" w:color="000000"/>
              <w:left w:val="single" w:sz="8" w:space="0" w:color="000000"/>
              <w:bottom w:val="single" w:sz="8" w:space="0" w:color="000000"/>
              <w:right w:val="single" w:sz="8" w:space="0" w:color="000000"/>
            </w:tcBorders>
            <w:vAlign w:val="center"/>
            <w:hideMark/>
          </w:tcPr>
          <w:p w14:paraId="067B6923" w14:textId="77777777" w:rsidR="00B962A0" w:rsidRPr="0082622B" w:rsidRDefault="00B962A0" w:rsidP="007406CB">
            <w:pPr>
              <w:rPr>
                <w:rFonts w:asciiTheme="majorHAnsi" w:hAnsiTheme="majorHAnsi" w:cs="Arial"/>
                <w:sz w:val="26"/>
                <w:szCs w:val="26"/>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4" w14:textId="77777777" w:rsidR="00B962A0" w:rsidRPr="0082622B" w:rsidRDefault="00B962A0" w:rsidP="00495EB4">
            <w:pPr>
              <w:pStyle w:val="ATATableBody"/>
              <w:rPr>
                <w:rFonts w:cs="Arial"/>
                <w:sz w:val="26"/>
                <w:szCs w:val="26"/>
              </w:rPr>
            </w:pPr>
            <w:r w:rsidRPr="0082622B">
              <w:rPr>
                <w:color w:val="000000" w:themeColor="text1"/>
                <w:kern w:val="24"/>
                <w:sz w:val="26"/>
                <w:szCs w:val="26"/>
              </w:rPr>
              <w:t>التأكد أن لسان القفل يدخل بإحكام في الفتحة المخصصة له وأن هذه الفتحة تخلو من أي جسم أو نتوء يعوق لسان القفل</w:t>
            </w:r>
          </w:p>
        </w:tc>
      </w:tr>
    </w:tbl>
    <w:p w14:paraId="6211FCE0" w14:textId="77777777" w:rsidR="00495EB4" w:rsidRPr="0082622B" w:rsidRDefault="00495EB4" w:rsidP="00495EB4">
      <w:pPr>
        <w:pStyle w:val="ATAHeadingLevel1"/>
        <w:rPr>
          <w:sz w:val="26"/>
          <w:szCs w:val="26"/>
        </w:rPr>
      </w:pPr>
    </w:p>
    <w:p w14:paraId="2F400E21" w14:textId="77777777" w:rsidR="00495EB4" w:rsidRPr="0082622B" w:rsidRDefault="00495EB4" w:rsidP="00495EB4">
      <w:pPr>
        <w:pStyle w:val="ATABody"/>
        <w:rPr>
          <w:sz w:val="26"/>
          <w:szCs w:val="26"/>
        </w:rPr>
      </w:pPr>
      <w:r w:rsidRPr="0082622B">
        <w:rPr>
          <w:sz w:val="26"/>
          <w:szCs w:val="26"/>
        </w:rPr>
        <w:br w:type="page"/>
      </w:r>
    </w:p>
    <w:p w14:paraId="067B6926" w14:textId="29A93195" w:rsidR="00B962A0" w:rsidRPr="0082622B" w:rsidRDefault="00B962A0" w:rsidP="006859BB">
      <w:pPr>
        <w:pStyle w:val="ATAHeadingLevel2"/>
        <w:rPr>
          <w:b w:val="0"/>
          <w:bCs/>
          <w:sz w:val="26"/>
          <w:szCs w:val="26"/>
        </w:rPr>
      </w:pPr>
      <w:r w:rsidRPr="0082622B">
        <w:rPr>
          <w:b w:val="0"/>
          <w:bCs/>
          <w:sz w:val="26"/>
          <w:szCs w:val="26"/>
        </w:rPr>
        <w:lastRenderedPageBreak/>
        <w:t>المعايير الخاصة بالنوافذ</w:t>
      </w:r>
    </w:p>
    <w:tbl>
      <w:tblPr>
        <w:bidiVisual/>
        <w:tblW w:w="5000" w:type="pct"/>
        <w:tblCellMar>
          <w:left w:w="0" w:type="dxa"/>
          <w:right w:w="0" w:type="dxa"/>
        </w:tblCellMar>
        <w:tblLook w:val="0600" w:firstRow="0" w:lastRow="0" w:firstColumn="0" w:lastColumn="0" w:noHBand="1" w:noVBand="1"/>
      </w:tblPr>
      <w:tblGrid>
        <w:gridCol w:w="1947"/>
        <w:gridCol w:w="6913"/>
      </w:tblGrid>
      <w:tr w:rsidR="00B962A0" w:rsidRPr="0082622B" w14:paraId="067B692B" w14:textId="77777777" w:rsidTr="007406CB">
        <w:tc>
          <w:tcPr>
            <w:tcW w:w="109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27" w14:textId="77777777" w:rsidR="00B962A0" w:rsidRPr="0082622B" w:rsidRDefault="00B962A0" w:rsidP="00495EB4">
            <w:pPr>
              <w:pStyle w:val="ATATableHeading"/>
              <w:rPr>
                <w:sz w:val="26"/>
                <w:szCs w:val="26"/>
              </w:rPr>
            </w:pPr>
            <w:r w:rsidRPr="0082622B">
              <w:rPr>
                <w:sz w:val="26"/>
                <w:szCs w:val="26"/>
              </w:rPr>
              <w:t>النوافذ</w:t>
            </w:r>
          </w:p>
          <w:p w14:paraId="067B6929"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A" w14:textId="651B31C9" w:rsidR="00B962A0" w:rsidRPr="0082622B" w:rsidRDefault="00B962A0" w:rsidP="00495EB4">
            <w:pPr>
              <w:pStyle w:val="ATATableBody"/>
              <w:rPr>
                <w:sz w:val="26"/>
                <w:szCs w:val="26"/>
              </w:rPr>
            </w:pPr>
            <w:r w:rsidRPr="0082622B">
              <w:rPr>
                <w:sz w:val="26"/>
                <w:szCs w:val="26"/>
              </w:rPr>
              <w:t>يتعين سد النوافذ غير الأساسية ببناء حائط مكانها أو تأمين جميع النوافذ غير الضرورية</w:t>
            </w:r>
          </w:p>
        </w:tc>
      </w:tr>
      <w:tr w:rsidR="00B962A0" w:rsidRPr="0082622B" w14:paraId="067B692E" w14:textId="77777777" w:rsidTr="007406CB">
        <w:tc>
          <w:tcPr>
            <w:tcW w:w="1099" w:type="pct"/>
            <w:vMerge/>
            <w:tcBorders>
              <w:left w:val="single" w:sz="8" w:space="0" w:color="000000"/>
              <w:right w:val="single" w:sz="8" w:space="0" w:color="000000"/>
            </w:tcBorders>
            <w:vAlign w:val="center"/>
            <w:hideMark/>
          </w:tcPr>
          <w:p w14:paraId="067B692C"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D" w14:textId="77777777" w:rsidR="00B962A0" w:rsidRPr="0082622B" w:rsidRDefault="00B962A0" w:rsidP="00495EB4">
            <w:pPr>
              <w:pStyle w:val="ATATableBody"/>
              <w:rPr>
                <w:sz w:val="26"/>
                <w:szCs w:val="26"/>
              </w:rPr>
            </w:pPr>
            <w:r w:rsidRPr="0082622B">
              <w:rPr>
                <w:sz w:val="26"/>
                <w:szCs w:val="26"/>
              </w:rPr>
              <w:t>تركيب تحصينات أمنية على جميع البدرومات، والأدوار الأرضية، وسائر النوافذ التي يسهل الوصول إليها</w:t>
            </w:r>
          </w:p>
        </w:tc>
      </w:tr>
      <w:tr w:rsidR="00B962A0" w:rsidRPr="0082622B" w14:paraId="067B6931" w14:textId="77777777" w:rsidTr="007406CB">
        <w:tc>
          <w:tcPr>
            <w:tcW w:w="1099" w:type="pct"/>
            <w:vMerge/>
            <w:tcBorders>
              <w:left w:val="single" w:sz="8" w:space="0" w:color="000000"/>
              <w:right w:val="single" w:sz="8" w:space="0" w:color="000000"/>
            </w:tcBorders>
            <w:vAlign w:val="center"/>
            <w:hideMark/>
          </w:tcPr>
          <w:p w14:paraId="067B692F"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0" w14:textId="77777777" w:rsidR="00B962A0" w:rsidRPr="0082622B" w:rsidRDefault="00B962A0" w:rsidP="00495EB4">
            <w:pPr>
              <w:pStyle w:val="ATATableBody"/>
              <w:rPr>
                <w:sz w:val="26"/>
                <w:szCs w:val="26"/>
              </w:rPr>
            </w:pPr>
            <w:r w:rsidRPr="0082622B">
              <w:rPr>
                <w:sz w:val="26"/>
                <w:szCs w:val="26"/>
              </w:rPr>
              <w:t>فحص مزلاج النوافذ واستبدال التالف منها</w:t>
            </w:r>
          </w:p>
        </w:tc>
      </w:tr>
      <w:tr w:rsidR="00B962A0" w:rsidRPr="0082622B" w14:paraId="067B6934" w14:textId="77777777" w:rsidTr="007406CB">
        <w:tc>
          <w:tcPr>
            <w:tcW w:w="1099" w:type="pct"/>
            <w:vMerge/>
            <w:tcBorders>
              <w:left w:val="single" w:sz="8" w:space="0" w:color="000000"/>
              <w:right w:val="single" w:sz="8" w:space="0" w:color="000000"/>
            </w:tcBorders>
            <w:vAlign w:val="center"/>
            <w:hideMark/>
          </w:tcPr>
          <w:p w14:paraId="067B6932"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3" w14:textId="77777777" w:rsidR="00B962A0" w:rsidRPr="0082622B" w:rsidRDefault="00B962A0" w:rsidP="00495EB4">
            <w:pPr>
              <w:pStyle w:val="ATATableBody"/>
              <w:rPr>
                <w:sz w:val="26"/>
                <w:szCs w:val="26"/>
              </w:rPr>
            </w:pPr>
            <w:r w:rsidRPr="0082622B">
              <w:rPr>
                <w:sz w:val="26"/>
                <w:szCs w:val="26"/>
              </w:rPr>
              <w:t>النظر في خيار تركيب أجهزة إنذار لكشف التسلل للمزيد من الحماية</w:t>
            </w:r>
          </w:p>
        </w:tc>
      </w:tr>
      <w:tr w:rsidR="00B962A0" w:rsidRPr="0082622B" w14:paraId="067B6937" w14:textId="77777777" w:rsidTr="007406CB">
        <w:tc>
          <w:tcPr>
            <w:tcW w:w="1099" w:type="pct"/>
            <w:vMerge/>
            <w:tcBorders>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35"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6" w14:textId="77777777" w:rsidR="00B962A0" w:rsidRPr="0082622B" w:rsidRDefault="00B962A0" w:rsidP="00495EB4">
            <w:pPr>
              <w:pStyle w:val="ATATableBody"/>
              <w:rPr>
                <w:sz w:val="26"/>
                <w:szCs w:val="26"/>
              </w:rPr>
            </w:pPr>
            <w:r w:rsidRPr="0082622B">
              <w:rPr>
                <w:sz w:val="26"/>
                <w:szCs w:val="26"/>
              </w:rPr>
              <w:t>تحديد دوائر المسؤولية فيما يتعلق بتأمين النوافذ التي يحتمل الوصول إليها من الدور الأرضي أو التي على ارتفاعات يمكن تسلقها</w:t>
            </w:r>
          </w:p>
        </w:tc>
      </w:tr>
      <w:tr w:rsidR="00B962A0" w:rsidRPr="0082622B" w14:paraId="067B693A" w14:textId="77777777" w:rsidTr="007406CB">
        <w:tc>
          <w:tcPr>
            <w:tcW w:w="1099" w:type="pct"/>
            <w:vMerge/>
            <w:tcBorders>
              <w:left w:val="single" w:sz="8" w:space="0" w:color="000000"/>
              <w:right w:val="single" w:sz="8" w:space="0" w:color="000000"/>
            </w:tcBorders>
            <w:vAlign w:val="center"/>
            <w:hideMark/>
          </w:tcPr>
          <w:p w14:paraId="067B6938"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9" w14:textId="56EDA8C4" w:rsidR="00B962A0" w:rsidRPr="0082622B" w:rsidRDefault="00B962A0" w:rsidP="00495EB4">
            <w:pPr>
              <w:pStyle w:val="ATATableBody"/>
              <w:rPr>
                <w:sz w:val="26"/>
                <w:szCs w:val="26"/>
              </w:rPr>
            </w:pPr>
            <w:r w:rsidRPr="0082622B">
              <w:rPr>
                <w:sz w:val="26"/>
                <w:szCs w:val="26"/>
              </w:rPr>
              <w:t xml:space="preserve">التأكد من وجود روافع إغلاق أو عوارض لمنع </w:t>
            </w:r>
            <w:r w:rsidR="002E4B75" w:rsidRPr="0082622B">
              <w:rPr>
                <w:rFonts w:hint="cs"/>
                <w:sz w:val="26"/>
                <w:szCs w:val="26"/>
              </w:rPr>
              <w:t>الاقتحام</w:t>
            </w:r>
            <w:r w:rsidRPr="0082622B">
              <w:rPr>
                <w:sz w:val="26"/>
                <w:szCs w:val="26"/>
              </w:rPr>
              <w:t xml:space="preserve"> مثبتة بإحكام على نوافذ الدور الأرضي والنوافذ التي يسهل الوصول إليها.</w:t>
            </w:r>
          </w:p>
        </w:tc>
      </w:tr>
      <w:tr w:rsidR="00B962A0" w:rsidRPr="0082622B" w14:paraId="067B693D" w14:textId="77777777" w:rsidTr="007406CB">
        <w:tc>
          <w:tcPr>
            <w:tcW w:w="1099" w:type="pct"/>
            <w:vMerge/>
            <w:tcBorders>
              <w:left w:val="single" w:sz="8" w:space="0" w:color="000000"/>
              <w:right w:val="single" w:sz="8" w:space="0" w:color="000000"/>
            </w:tcBorders>
            <w:vAlign w:val="center"/>
            <w:hideMark/>
          </w:tcPr>
          <w:p w14:paraId="067B693B"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C" w14:textId="4D05E2F3" w:rsidR="00B962A0" w:rsidRPr="0082622B" w:rsidRDefault="00B962A0" w:rsidP="00495EB4">
            <w:pPr>
              <w:pStyle w:val="ATATableBody"/>
              <w:rPr>
                <w:sz w:val="26"/>
                <w:szCs w:val="26"/>
              </w:rPr>
            </w:pPr>
            <w:r w:rsidRPr="0082622B">
              <w:rPr>
                <w:sz w:val="26"/>
                <w:szCs w:val="26"/>
              </w:rPr>
              <w:t xml:space="preserve">تركيب قضبان حديدية، أو شبكات معدنية، أو خشبية عند </w:t>
            </w:r>
            <w:r w:rsidR="002E4B75" w:rsidRPr="0082622B">
              <w:rPr>
                <w:rFonts w:hint="cs"/>
                <w:sz w:val="26"/>
                <w:szCs w:val="26"/>
              </w:rPr>
              <w:t>اقتضاء</w:t>
            </w:r>
            <w:r w:rsidRPr="0082622B">
              <w:rPr>
                <w:sz w:val="26"/>
                <w:szCs w:val="26"/>
              </w:rPr>
              <w:t xml:space="preserve"> الأمر. </w:t>
            </w:r>
          </w:p>
        </w:tc>
      </w:tr>
      <w:tr w:rsidR="00B962A0" w:rsidRPr="0082622B" w14:paraId="067B6940" w14:textId="77777777" w:rsidTr="007406CB">
        <w:tc>
          <w:tcPr>
            <w:tcW w:w="1099" w:type="pct"/>
            <w:vMerge/>
            <w:tcBorders>
              <w:left w:val="single" w:sz="8" w:space="0" w:color="000000"/>
              <w:right w:val="single" w:sz="8" w:space="0" w:color="000000"/>
            </w:tcBorders>
            <w:shd w:val="clear" w:color="auto" w:fill="DADADA"/>
            <w:vAlign w:val="center"/>
            <w:hideMark/>
          </w:tcPr>
          <w:p w14:paraId="067B693E" w14:textId="77777777" w:rsidR="00B962A0" w:rsidRPr="0082622B" w:rsidRDefault="00B962A0" w:rsidP="007406CB">
            <w:pPr>
              <w:jc w:val="cente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F" w14:textId="77777777" w:rsidR="00B962A0" w:rsidRPr="0082622B" w:rsidRDefault="00B962A0" w:rsidP="00495EB4">
            <w:pPr>
              <w:pStyle w:val="ATATableBody"/>
              <w:rPr>
                <w:sz w:val="26"/>
                <w:szCs w:val="26"/>
              </w:rPr>
            </w:pPr>
            <w:r w:rsidRPr="0082622B">
              <w:rPr>
                <w:sz w:val="26"/>
                <w:szCs w:val="26"/>
              </w:rPr>
              <w:t>تركيب أجهزة الاستشعار لكشف التسلل</w:t>
            </w:r>
          </w:p>
        </w:tc>
      </w:tr>
      <w:tr w:rsidR="00B962A0" w:rsidRPr="0082622B" w14:paraId="067B6943" w14:textId="77777777" w:rsidTr="007406CB">
        <w:tc>
          <w:tcPr>
            <w:tcW w:w="1099" w:type="pct"/>
            <w:vMerge/>
            <w:tcBorders>
              <w:left w:val="single" w:sz="8" w:space="0" w:color="000000"/>
              <w:bottom w:val="single" w:sz="8" w:space="0" w:color="000000"/>
              <w:right w:val="single" w:sz="8" w:space="0" w:color="000000"/>
            </w:tcBorders>
            <w:vAlign w:val="center"/>
            <w:hideMark/>
          </w:tcPr>
          <w:p w14:paraId="067B6941" w14:textId="77777777" w:rsidR="00B962A0" w:rsidRPr="0082622B" w:rsidRDefault="00B962A0" w:rsidP="007406CB">
            <w:pPr>
              <w:rPr>
                <w:rFonts w:asciiTheme="majorHAnsi" w:hAnsiTheme="majorHAnsi" w:cs="Arial"/>
                <w:sz w:val="26"/>
                <w:szCs w:val="26"/>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2" w14:textId="3D19E477" w:rsidR="00B962A0" w:rsidRPr="0082622B" w:rsidRDefault="00B962A0" w:rsidP="00495EB4">
            <w:pPr>
              <w:pStyle w:val="ATATableBody"/>
              <w:rPr>
                <w:sz w:val="26"/>
                <w:szCs w:val="26"/>
              </w:rPr>
            </w:pPr>
            <w:r w:rsidRPr="0082622B">
              <w:rPr>
                <w:sz w:val="26"/>
                <w:szCs w:val="26"/>
              </w:rPr>
              <w:t xml:space="preserve">تركيب نوافذ معززة لتوفير حماية إضافية ضد </w:t>
            </w:r>
            <w:r w:rsidR="002E4B75" w:rsidRPr="0082622B">
              <w:rPr>
                <w:rFonts w:hint="cs"/>
                <w:sz w:val="26"/>
                <w:szCs w:val="26"/>
              </w:rPr>
              <w:t>الاقتحام</w:t>
            </w:r>
            <w:r w:rsidRPr="0082622B">
              <w:rPr>
                <w:sz w:val="26"/>
                <w:szCs w:val="26"/>
              </w:rPr>
              <w:t xml:space="preserve"> أو الدخول عنوة</w:t>
            </w:r>
          </w:p>
        </w:tc>
      </w:tr>
    </w:tbl>
    <w:p w14:paraId="067B6944" w14:textId="77777777" w:rsidR="00B962A0" w:rsidRPr="0082622B" w:rsidRDefault="00B962A0" w:rsidP="00B962A0">
      <w:pPr>
        <w:rPr>
          <w:rFonts w:asciiTheme="majorHAnsi" w:hAnsiTheme="majorHAnsi"/>
          <w:sz w:val="26"/>
          <w:szCs w:val="26"/>
        </w:rPr>
      </w:pPr>
    </w:p>
    <w:p w14:paraId="067B6945" w14:textId="5ADFE34A" w:rsidR="00B962A0" w:rsidRPr="0082622B" w:rsidRDefault="00B962A0" w:rsidP="006859BB">
      <w:pPr>
        <w:pStyle w:val="ATAHeadingLevel2"/>
        <w:rPr>
          <w:b w:val="0"/>
          <w:bCs/>
          <w:sz w:val="26"/>
          <w:szCs w:val="26"/>
        </w:rPr>
      </w:pPr>
      <w:r w:rsidRPr="0082622B">
        <w:rPr>
          <w:b w:val="0"/>
          <w:bCs/>
          <w:sz w:val="26"/>
          <w:szCs w:val="26"/>
        </w:rPr>
        <w:t>المعايير الخاصة بسائر المناطق</w:t>
      </w:r>
    </w:p>
    <w:tbl>
      <w:tblPr>
        <w:bidiVisual/>
        <w:tblW w:w="5000" w:type="pct"/>
        <w:tblCellMar>
          <w:left w:w="0" w:type="dxa"/>
          <w:right w:w="0" w:type="dxa"/>
        </w:tblCellMar>
        <w:tblLook w:val="0600" w:firstRow="0" w:lastRow="0" w:firstColumn="0" w:lastColumn="0" w:noHBand="1" w:noVBand="1"/>
      </w:tblPr>
      <w:tblGrid>
        <w:gridCol w:w="2089"/>
        <w:gridCol w:w="6771"/>
      </w:tblGrid>
      <w:tr w:rsidR="00B962A0" w:rsidRPr="0082622B" w14:paraId="067B6948"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46" w14:textId="4B47FCFE" w:rsidR="00B962A0" w:rsidRPr="0082622B" w:rsidRDefault="006859BB" w:rsidP="003C0A0B">
            <w:pPr>
              <w:pStyle w:val="ATATableHeading"/>
              <w:keepNext w:val="0"/>
              <w:rPr>
                <w:sz w:val="26"/>
                <w:szCs w:val="26"/>
              </w:rPr>
            </w:pPr>
            <w:r w:rsidRPr="0082622B">
              <w:rPr>
                <w:sz w:val="26"/>
                <w:szCs w:val="26"/>
              </w:rPr>
              <w:t>البوابات والمصاريع</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7" w14:textId="77777777" w:rsidR="00B962A0" w:rsidRPr="0082622B" w:rsidRDefault="00B962A0" w:rsidP="003C0A0B">
            <w:pPr>
              <w:pStyle w:val="ATATableBody"/>
              <w:rPr>
                <w:sz w:val="26"/>
                <w:szCs w:val="26"/>
              </w:rPr>
            </w:pPr>
            <w:r w:rsidRPr="0082622B">
              <w:rPr>
                <w:sz w:val="26"/>
                <w:szCs w:val="26"/>
              </w:rPr>
              <w:t>استخدام الشبكات المعدنية الممتدة، والشبكات الدوارة، أو الشيش الدوار في مداخل الأبواب، والممرات، أو سائر الفتحات الأخرى</w:t>
            </w:r>
          </w:p>
        </w:tc>
      </w:tr>
      <w:tr w:rsidR="00B962A0" w:rsidRPr="0082622B" w14:paraId="067B694C" w14:textId="77777777" w:rsidTr="007406CB">
        <w:tc>
          <w:tcPr>
            <w:tcW w:w="117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49" w14:textId="528EE92B" w:rsidR="00B962A0" w:rsidRPr="0082622B" w:rsidRDefault="006859BB" w:rsidP="003C0A0B">
            <w:pPr>
              <w:pStyle w:val="ATATableHeading"/>
              <w:keepNext w:val="0"/>
              <w:rPr>
                <w:sz w:val="26"/>
                <w:szCs w:val="26"/>
              </w:rPr>
            </w:pPr>
            <w:r w:rsidRPr="0082622B">
              <w:rPr>
                <w:sz w:val="26"/>
                <w:szCs w:val="26"/>
              </w:rPr>
              <w:t>السطوح</w:t>
            </w:r>
          </w:p>
          <w:p w14:paraId="067B694A"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B" w14:textId="77777777" w:rsidR="00B962A0" w:rsidRPr="0082622B" w:rsidRDefault="00B962A0" w:rsidP="003C0A0B">
            <w:pPr>
              <w:pStyle w:val="ATATableBody"/>
              <w:rPr>
                <w:sz w:val="26"/>
                <w:szCs w:val="26"/>
              </w:rPr>
            </w:pPr>
            <w:r w:rsidRPr="0082622B">
              <w:rPr>
                <w:sz w:val="26"/>
                <w:szCs w:val="26"/>
              </w:rPr>
              <w:t>منع النفاذ للمنشأة من على أسطح المباني عن طريق إقامة حواجز مناسبة، وإدخال شبكات معدنية واقية لإحكام سائر نقاط النفاذ المحتملة.</w:t>
            </w:r>
          </w:p>
        </w:tc>
      </w:tr>
      <w:tr w:rsidR="00B962A0" w:rsidRPr="0082622B" w14:paraId="067B694F" w14:textId="77777777" w:rsidTr="007406CB">
        <w:tc>
          <w:tcPr>
            <w:tcW w:w="1179" w:type="pct"/>
            <w:vMerge/>
            <w:tcBorders>
              <w:left w:val="single" w:sz="8" w:space="0" w:color="000000"/>
              <w:right w:val="single" w:sz="8" w:space="0" w:color="000000"/>
            </w:tcBorders>
            <w:vAlign w:val="center"/>
            <w:hideMark/>
          </w:tcPr>
          <w:p w14:paraId="067B694D"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E" w14:textId="77777777" w:rsidR="00B962A0" w:rsidRPr="0082622B" w:rsidRDefault="00B962A0" w:rsidP="003C0A0B">
            <w:pPr>
              <w:pStyle w:val="ATATableBody"/>
              <w:rPr>
                <w:sz w:val="26"/>
                <w:szCs w:val="26"/>
              </w:rPr>
            </w:pPr>
            <w:r w:rsidRPr="0082622B">
              <w:rPr>
                <w:sz w:val="26"/>
                <w:szCs w:val="26"/>
              </w:rPr>
              <w:t>تركيب أجهزة الإنذار الخاصة بالتسلل لاكتشاف أي نفاذ غير مصرح به</w:t>
            </w:r>
          </w:p>
        </w:tc>
      </w:tr>
      <w:tr w:rsidR="00B962A0" w:rsidRPr="0082622B" w14:paraId="067B6952" w14:textId="77777777" w:rsidTr="007406CB">
        <w:tc>
          <w:tcPr>
            <w:tcW w:w="1179" w:type="pct"/>
            <w:vMerge/>
            <w:tcBorders>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50"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1" w14:textId="35921E51" w:rsidR="00B962A0" w:rsidRPr="0082622B" w:rsidRDefault="002E4B75" w:rsidP="003C0A0B">
            <w:pPr>
              <w:pStyle w:val="ATATableBody"/>
              <w:rPr>
                <w:sz w:val="26"/>
                <w:szCs w:val="26"/>
              </w:rPr>
            </w:pPr>
            <w:r w:rsidRPr="0082622B">
              <w:rPr>
                <w:rFonts w:hint="cs"/>
                <w:sz w:val="26"/>
                <w:szCs w:val="26"/>
              </w:rPr>
              <w:t>اتخاذ</w:t>
            </w:r>
            <w:r w:rsidR="00B962A0" w:rsidRPr="0082622B">
              <w:rPr>
                <w:sz w:val="26"/>
                <w:szCs w:val="26"/>
              </w:rPr>
              <w:t xml:space="preserve"> تدابير مناسبة لحماية النفاذ للمبنى عن طريق الغرفة العليا أو الفراغات ما بين الأسقف الوهمية (المعلقة) وسطح المبنى الخارجي</w:t>
            </w:r>
          </w:p>
        </w:tc>
      </w:tr>
      <w:tr w:rsidR="00B962A0" w:rsidRPr="0082622B" w14:paraId="067B6955" w14:textId="77777777" w:rsidTr="007406CB">
        <w:tc>
          <w:tcPr>
            <w:tcW w:w="117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53" w14:textId="7AAD62D4" w:rsidR="00B962A0" w:rsidRPr="0082622B" w:rsidRDefault="006859BB" w:rsidP="003C0A0B">
            <w:pPr>
              <w:pStyle w:val="ATATableHeading"/>
              <w:keepNext w:val="0"/>
              <w:rPr>
                <w:sz w:val="26"/>
                <w:szCs w:val="26"/>
              </w:rPr>
            </w:pPr>
            <w:r w:rsidRPr="0082622B">
              <w:rPr>
                <w:sz w:val="26"/>
                <w:szCs w:val="26"/>
              </w:rPr>
              <w:t>فتحات الإنارة الطبيعية، وفتحات المراوح، وفتحات السقف</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4" w14:textId="77777777" w:rsidR="00B962A0" w:rsidRPr="0082622B" w:rsidRDefault="00B962A0" w:rsidP="003C0A0B">
            <w:pPr>
              <w:pStyle w:val="ATATableBody"/>
              <w:rPr>
                <w:sz w:val="26"/>
                <w:szCs w:val="26"/>
              </w:rPr>
            </w:pPr>
            <w:r w:rsidRPr="0082622B">
              <w:rPr>
                <w:sz w:val="26"/>
                <w:szCs w:val="26"/>
              </w:rPr>
              <w:t>استبدال الزجاج بمادة أمنية من الألياف الزجاجية</w:t>
            </w:r>
          </w:p>
        </w:tc>
      </w:tr>
      <w:tr w:rsidR="00B962A0" w:rsidRPr="0082622B" w14:paraId="067B6958"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56"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7" w14:textId="77777777" w:rsidR="00B962A0" w:rsidRPr="0082622B" w:rsidRDefault="00B962A0" w:rsidP="003C0A0B">
            <w:pPr>
              <w:pStyle w:val="ATATableBody"/>
              <w:rPr>
                <w:sz w:val="26"/>
                <w:szCs w:val="26"/>
              </w:rPr>
            </w:pPr>
            <w:r w:rsidRPr="0082622B">
              <w:rPr>
                <w:sz w:val="26"/>
                <w:szCs w:val="26"/>
              </w:rPr>
              <w:t>تأمين الأضواء بقضبان أو شبكات معدنية</w:t>
            </w:r>
          </w:p>
        </w:tc>
      </w:tr>
      <w:tr w:rsidR="00B962A0" w:rsidRPr="0082622B" w14:paraId="067B695B"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59"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A" w14:textId="781A5615" w:rsidR="00B962A0" w:rsidRPr="0082622B" w:rsidRDefault="00B962A0" w:rsidP="003C0A0B">
            <w:pPr>
              <w:pStyle w:val="ATATableBody"/>
              <w:rPr>
                <w:sz w:val="26"/>
                <w:szCs w:val="26"/>
              </w:rPr>
            </w:pPr>
            <w:r w:rsidRPr="0082622B">
              <w:rPr>
                <w:sz w:val="26"/>
                <w:szCs w:val="26"/>
              </w:rPr>
              <w:t xml:space="preserve">تثبيت الإطارات بمسامير قلاووظ وتغطية الزجاج بطبقة من </w:t>
            </w:r>
            <w:r w:rsidR="002E4B75" w:rsidRPr="0082622B">
              <w:rPr>
                <w:rFonts w:hint="cs"/>
                <w:sz w:val="26"/>
                <w:szCs w:val="26"/>
              </w:rPr>
              <w:t>الألياف</w:t>
            </w:r>
            <w:r w:rsidRPr="0082622B">
              <w:rPr>
                <w:sz w:val="26"/>
                <w:szCs w:val="26"/>
              </w:rPr>
              <w:t xml:space="preserve"> الفولاذية </w:t>
            </w:r>
          </w:p>
        </w:tc>
      </w:tr>
      <w:tr w:rsidR="00B962A0" w:rsidRPr="0082622B" w14:paraId="067B695E"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5C"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D" w14:textId="77777777" w:rsidR="00B962A0" w:rsidRPr="0082622B" w:rsidRDefault="00B962A0" w:rsidP="003C0A0B">
            <w:pPr>
              <w:pStyle w:val="ATATableBody"/>
              <w:rPr>
                <w:sz w:val="26"/>
                <w:szCs w:val="26"/>
              </w:rPr>
            </w:pPr>
            <w:r w:rsidRPr="0082622B">
              <w:rPr>
                <w:sz w:val="26"/>
                <w:szCs w:val="26"/>
              </w:rPr>
              <w:t>تركيب أنظمة كشف التسلل</w:t>
            </w:r>
          </w:p>
        </w:tc>
      </w:tr>
      <w:tr w:rsidR="00B962A0" w:rsidRPr="0082622B" w14:paraId="067B6961"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5F" w14:textId="0EC8537A" w:rsidR="00B962A0" w:rsidRPr="0082622B" w:rsidRDefault="006859BB" w:rsidP="003C0A0B">
            <w:pPr>
              <w:pStyle w:val="ATATableHeading"/>
              <w:keepNext w:val="0"/>
              <w:rPr>
                <w:sz w:val="26"/>
                <w:szCs w:val="26"/>
              </w:rPr>
            </w:pPr>
            <w:r w:rsidRPr="0082622B">
              <w:rPr>
                <w:sz w:val="26"/>
                <w:szCs w:val="26"/>
              </w:rPr>
              <w:t>تسلق المواسير (الأنابيب)</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0" w14:textId="5F51E241" w:rsidR="00B962A0" w:rsidRPr="0082622B" w:rsidRDefault="00B962A0" w:rsidP="003C0A0B">
            <w:pPr>
              <w:pStyle w:val="ATATableBody"/>
              <w:rPr>
                <w:sz w:val="26"/>
                <w:szCs w:val="26"/>
              </w:rPr>
            </w:pPr>
            <w:r w:rsidRPr="0082622B">
              <w:rPr>
                <w:sz w:val="26"/>
                <w:szCs w:val="26"/>
              </w:rPr>
              <w:t>منع تسلق الأنابيب عن طريق إحاطتها بصندوق واقي أو معالجتها بأجهزة منع التسلق</w:t>
            </w:r>
          </w:p>
        </w:tc>
      </w:tr>
      <w:tr w:rsidR="00B962A0" w:rsidRPr="0082622B" w14:paraId="067B6965" w14:textId="77777777" w:rsidTr="003C0A0B">
        <w:trPr>
          <w:cantSplit/>
        </w:trPr>
        <w:tc>
          <w:tcPr>
            <w:tcW w:w="117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62" w14:textId="7CBA5838" w:rsidR="00B962A0" w:rsidRPr="0082622B" w:rsidRDefault="006859BB" w:rsidP="003C0A0B">
            <w:pPr>
              <w:pStyle w:val="ATATableHeading"/>
              <w:keepNext w:val="0"/>
              <w:rPr>
                <w:sz w:val="26"/>
                <w:szCs w:val="26"/>
              </w:rPr>
            </w:pPr>
            <w:r w:rsidRPr="0082622B">
              <w:rPr>
                <w:sz w:val="26"/>
                <w:szCs w:val="26"/>
              </w:rPr>
              <w:t>المساحات الخارجية الغائرة</w:t>
            </w:r>
          </w:p>
          <w:p w14:paraId="067B6963"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4" w14:textId="77777777" w:rsidR="00B962A0" w:rsidRPr="0082622B" w:rsidRDefault="00B962A0" w:rsidP="003C0A0B">
            <w:pPr>
              <w:pStyle w:val="ATATableBody"/>
              <w:rPr>
                <w:sz w:val="26"/>
                <w:szCs w:val="26"/>
              </w:rPr>
            </w:pPr>
            <w:r w:rsidRPr="0082622B">
              <w:rPr>
                <w:sz w:val="26"/>
                <w:szCs w:val="26"/>
              </w:rPr>
              <w:t>تأمينها بشبكات من الصلب أو شرائح من الفولاذ المتشابك من أسفل</w:t>
            </w:r>
          </w:p>
        </w:tc>
      </w:tr>
      <w:tr w:rsidR="00B962A0" w:rsidRPr="0082622B" w14:paraId="067B6968" w14:textId="77777777" w:rsidTr="007406CB">
        <w:tc>
          <w:tcPr>
            <w:tcW w:w="1179" w:type="pct"/>
            <w:vMerge/>
            <w:tcBorders>
              <w:left w:val="single" w:sz="8" w:space="0" w:color="000000"/>
              <w:right w:val="single" w:sz="8" w:space="0" w:color="000000"/>
            </w:tcBorders>
            <w:vAlign w:val="center"/>
            <w:hideMark/>
          </w:tcPr>
          <w:p w14:paraId="067B6966"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7" w14:textId="77777777" w:rsidR="00B962A0" w:rsidRPr="0082622B" w:rsidRDefault="00B962A0" w:rsidP="003C0A0B">
            <w:pPr>
              <w:pStyle w:val="ATATableBody"/>
              <w:rPr>
                <w:sz w:val="26"/>
                <w:szCs w:val="26"/>
              </w:rPr>
            </w:pPr>
            <w:r w:rsidRPr="0082622B">
              <w:rPr>
                <w:sz w:val="26"/>
                <w:szCs w:val="26"/>
              </w:rPr>
              <w:t>تأمين فتحات التهوية في المناطق الغائرة أو الفتحات البارزة على مستوى الشارع بتغطيتها بشبكات من الصلب</w:t>
            </w:r>
          </w:p>
        </w:tc>
      </w:tr>
      <w:tr w:rsidR="00B962A0" w:rsidRPr="0082622B" w14:paraId="067B696B" w14:textId="77777777" w:rsidTr="007406CB">
        <w:tc>
          <w:tcPr>
            <w:tcW w:w="1179" w:type="pct"/>
            <w:vMerge/>
            <w:tcBorders>
              <w:left w:val="single" w:sz="8" w:space="0" w:color="000000"/>
              <w:right w:val="single" w:sz="8" w:space="0" w:color="000000"/>
            </w:tcBorders>
            <w:vAlign w:val="center"/>
            <w:hideMark/>
          </w:tcPr>
          <w:p w14:paraId="067B6969"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A" w14:textId="77777777" w:rsidR="00B962A0" w:rsidRPr="0082622B" w:rsidRDefault="00B962A0" w:rsidP="003C0A0B">
            <w:pPr>
              <w:pStyle w:val="ATATableBody"/>
              <w:rPr>
                <w:sz w:val="26"/>
                <w:szCs w:val="26"/>
              </w:rPr>
            </w:pPr>
            <w:r w:rsidRPr="0082622B">
              <w:rPr>
                <w:sz w:val="26"/>
                <w:szCs w:val="26"/>
              </w:rPr>
              <w:t>تركيب شبكات من قضبان الصلب المتقاطع من الداخل لمنع النفاذ عن طريق الأنفاق الخاصة بالمرافق</w:t>
            </w:r>
          </w:p>
        </w:tc>
      </w:tr>
      <w:tr w:rsidR="00B962A0" w:rsidRPr="0082622B" w14:paraId="067B696E" w14:textId="77777777" w:rsidTr="007406CB">
        <w:tc>
          <w:tcPr>
            <w:tcW w:w="1179" w:type="pct"/>
            <w:vMerge/>
            <w:tcBorders>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6C" w14:textId="77777777" w:rsidR="00B962A0" w:rsidRPr="0082622B" w:rsidRDefault="00B962A0" w:rsidP="003C0A0B">
            <w:pPr>
              <w:pStyle w:val="ATATableHeading"/>
              <w:keepNext w:val="0"/>
              <w:rPr>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D" w14:textId="77777777" w:rsidR="00B962A0" w:rsidRPr="0082622B" w:rsidRDefault="00B962A0" w:rsidP="003C0A0B">
            <w:pPr>
              <w:pStyle w:val="ATATableBody"/>
              <w:rPr>
                <w:sz w:val="26"/>
                <w:szCs w:val="26"/>
              </w:rPr>
            </w:pPr>
            <w:r w:rsidRPr="0082622B">
              <w:rPr>
                <w:sz w:val="26"/>
                <w:szCs w:val="26"/>
              </w:rPr>
              <w:t>تركيب أنظمة كشف التسلل</w:t>
            </w:r>
          </w:p>
        </w:tc>
      </w:tr>
      <w:tr w:rsidR="00B962A0" w:rsidRPr="0082622B" w14:paraId="067B6971" w14:textId="77777777" w:rsidTr="007406CB">
        <w:tc>
          <w:tcPr>
            <w:tcW w:w="117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6F" w14:textId="4465C24E" w:rsidR="00B962A0" w:rsidRPr="0082622B" w:rsidRDefault="006859BB" w:rsidP="003C0A0B">
            <w:pPr>
              <w:pStyle w:val="ATATableHeading"/>
              <w:keepNext w:val="0"/>
              <w:rPr>
                <w:sz w:val="26"/>
                <w:szCs w:val="26"/>
              </w:rPr>
            </w:pPr>
            <w:r w:rsidRPr="0082622B">
              <w:rPr>
                <w:sz w:val="26"/>
                <w:szCs w:val="26"/>
              </w:rPr>
              <w:t>أرصفة الشحن والتفريغ</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0" w14:textId="77777777" w:rsidR="00B962A0" w:rsidRPr="0082622B" w:rsidRDefault="00B962A0" w:rsidP="003C0A0B">
            <w:pPr>
              <w:pStyle w:val="ATATableBody"/>
              <w:rPr>
                <w:sz w:val="26"/>
                <w:szCs w:val="26"/>
              </w:rPr>
            </w:pPr>
            <w:r w:rsidRPr="0082622B">
              <w:rPr>
                <w:sz w:val="26"/>
                <w:szCs w:val="26"/>
              </w:rPr>
              <w:t>في خلال ساعات الدوام (العمل)، يراعى استخدام مغاليق واقية أو تعمل بطريقة إلكترونية حتى لا تنفتح أبواب ممر الشحن إلا عند قدوم سيارة تم التعرف عليها</w:t>
            </w:r>
          </w:p>
        </w:tc>
      </w:tr>
      <w:tr w:rsidR="00B962A0" w:rsidRPr="0082622B" w14:paraId="067B6974"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72" w14:textId="77777777" w:rsidR="00B962A0" w:rsidRPr="0082622B" w:rsidRDefault="00B962A0" w:rsidP="003C0A0B">
            <w:pPr>
              <w:rPr>
                <w:rFonts w:asciiTheme="majorHAnsi" w:hAnsiTheme="majorHAnsi" w:cs="Arial"/>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3" w14:textId="77777777" w:rsidR="00B962A0" w:rsidRPr="0082622B" w:rsidRDefault="00B962A0" w:rsidP="003C0A0B">
            <w:pPr>
              <w:pStyle w:val="ATATableBody"/>
              <w:rPr>
                <w:sz w:val="26"/>
                <w:szCs w:val="26"/>
              </w:rPr>
            </w:pPr>
            <w:r w:rsidRPr="0082622B">
              <w:rPr>
                <w:sz w:val="26"/>
                <w:szCs w:val="26"/>
              </w:rPr>
              <w:t>وبعد ساعات الدوام، يجب إغلاق الشبكات الدوارة أو المنزلقة التي تحكم الإغلاق من الداخل</w:t>
            </w:r>
          </w:p>
        </w:tc>
      </w:tr>
      <w:tr w:rsidR="00B962A0" w:rsidRPr="0082622B" w14:paraId="067B6977"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75" w14:textId="27CA38D8" w:rsidR="00B962A0" w:rsidRPr="0082622B" w:rsidRDefault="006859BB" w:rsidP="003C0A0B">
            <w:pPr>
              <w:pStyle w:val="ATATableHeading"/>
              <w:keepNext w:val="0"/>
              <w:rPr>
                <w:sz w:val="26"/>
                <w:szCs w:val="26"/>
              </w:rPr>
            </w:pPr>
            <w:r w:rsidRPr="0082622B">
              <w:rPr>
                <w:sz w:val="26"/>
                <w:szCs w:val="26"/>
              </w:rPr>
              <w:t>المرافق العامة</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6" w14:textId="77777777" w:rsidR="00B962A0" w:rsidRPr="0082622B" w:rsidRDefault="00B962A0" w:rsidP="003C0A0B">
            <w:pPr>
              <w:pStyle w:val="ATATableBody"/>
              <w:rPr>
                <w:sz w:val="26"/>
                <w:szCs w:val="26"/>
              </w:rPr>
            </w:pPr>
            <w:r w:rsidRPr="0082622B">
              <w:rPr>
                <w:sz w:val="26"/>
                <w:szCs w:val="26"/>
              </w:rPr>
              <w:t>تركيب بوابات وأنظمة كشف التسلل لمنع استخدام الكابلات أو المواسير في النفاذ للمبنى</w:t>
            </w:r>
          </w:p>
        </w:tc>
      </w:tr>
      <w:tr w:rsidR="00B962A0" w:rsidRPr="0082622B" w14:paraId="067B697A"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78" w14:textId="43964FD7" w:rsidR="00B962A0" w:rsidRPr="0082622B" w:rsidRDefault="00A960CB" w:rsidP="003C0A0B">
            <w:pPr>
              <w:pStyle w:val="ATATableHeading"/>
              <w:keepNext w:val="0"/>
              <w:rPr>
                <w:sz w:val="26"/>
                <w:szCs w:val="26"/>
              </w:rPr>
            </w:pPr>
            <w:r w:rsidRPr="0082622B">
              <w:rPr>
                <w:sz w:val="26"/>
                <w:szCs w:val="26"/>
              </w:rPr>
              <w:t xml:space="preserve">أجهزة التكييف وسائر الأنظمة </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9" w14:textId="77777777" w:rsidR="00B962A0" w:rsidRPr="0082622B" w:rsidRDefault="00B962A0" w:rsidP="003C0A0B">
            <w:pPr>
              <w:pStyle w:val="ATATableBody"/>
              <w:rPr>
                <w:rFonts w:asciiTheme="majorHAnsi" w:hAnsiTheme="majorHAnsi" w:cs="Arial"/>
                <w:sz w:val="26"/>
                <w:szCs w:val="26"/>
              </w:rPr>
            </w:pPr>
            <w:r w:rsidRPr="0082622B">
              <w:rPr>
                <w:rFonts w:asciiTheme="majorHAnsi" w:hAnsiTheme="majorHAnsi"/>
                <w:color w:val="000000" w:themeColor="text1"/>
                <w:kern w:val="24"/>
                <w:sz w:val="26"/>
                <w:szCs w:val="26"/>
              </w:rPr>
              <w:t>تحديد النفاذ لتوفير حماية مناسبة ضد التخريب</w:t>
            </w:r>
          </w:p>
        </w:tc>
      </w:tr>
      <w:tr w:rsidR="00B962A0" w:rsidRPr="0082622B" w14:paraId="067B697D" w14:textId="77777777" w:rsidTr="007406CB">
        <w:tc>
          <w:tcPr>
            <w:tcW w:w="117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7B" w14:textId="6D62CABA" w:rsidR="00B962A0" w:rsidRPr="0082622B" w:rsidRDefault="006859BB" w:rsidP="003C0A0B">
            <w:pPr>
              <w:pStyle w:val="ATATableHeading"/>
              <w:keepNext w:val="0"/>
              <w:rPr>
                <w:sz w:val="26"/>
                <w:szCs w:val="26"/>
              </w:rPr>
            </w:pPr>
            <w:r w:rsidRPr="0082622B">
              <w:rPr>
                <w:sz w:val="26"/>
                <w:szCs w:val="26"/>
              </w:rPr>
              <w:t>المباني متعددة الأغراض</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C" w14:textId="77777777" w:rsidR="00B962A0" w:rsidRPr="0082622B" w:rsidRDefault="00B962A0" w:rsidP="003C0A0B">
            <w:pPr>
              <w:pStyle w:val="ATATableBody"/>
              <w:rPr>
                <w:rFonts w:asciiTheme="majorHAnsi" w:hAnsiTheme="majorHAnsi" w:cs="Arial"/>
                <w:sz w:val="26"/>
                <w:szCs w:val="26"/>
              </w:rPr>
            </w:pPr>
            <w:r w:rsidRPr="0082622B">
              <w:rPr>
                <w:rFonts w:asciiTheme="majorHAnsi" w:hAnsiTheme="majorHAnsi"/>
                <w:color w:val="000000" w:themeColor="text1"/>
                <w:kern w:val="24"/>
                <w:sz w:val="26"/>
                <w:szCs w:val="26"/>
              </w:rPr>
              <w:t>التأكد أن سائر المنظمات التي تستأجر مساحات بالمبنى تقوم بتأمين الأجزاء الواقعة في نطاق نفوذها من المبنى بنفس مستوى التدابير الأمنية المعمول بها</w:t>
            </w:r>
          </w:p>
        </w:tc>
      </w:tr>
      <w:tr w:rsidR="00B962A0" w:rsidRPr="0082622B" w14:paraId="067B6980"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7E" w14:textId="77777777" w:rsidR="00B962A0" w:rsidRPr="0082622B" w:rsidRDefault="00B962A0" w:rsidP="003C0A0B">
            <w:pPr>
              <w:rPr>
                <w:rFonts w:asciiTheme="majorHAnsi" w:hAnsiTheme="majorHAnsi" w:cs="Arial"/>
                <w:sz w:val="26"/>
                <w:szCs w:val="26"/>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F" w14:textId="77777777" w:rsidR="00B962A0" w:rsidRPr="0082622B" w:rsidRDefault="00B962A0" w:rsidP="003C0A0B">
            <w:pPr>
              <w:pStyle w:val="ATATableBody"/>
              <w:rPr>
                <w:rFonts w:asciiTheme="majorHAnsi" w:hAnsiTheme="majorHAnsi" w:cs="Arial"/>
                <w:sz w:val="26"/>
                <w:szCs w:val="26"/>
              </w:rPr>
            </w:pPr>
            <w:r w:rsidRPr="0082622B">
              <w:rPr>
                <w:rFonts w:asciiTheme="majorHAnsi" w:hAnsiTheme="majorHAnsi"/>
                <w:color w:val="000000" w:themeColor="text1"/>
                <w:kern w:val="24"/>
                <w:sz w:val="26"/>
                <w:szCs w:val="26"/>
              </w:rPr>
              <w:t>ضمان أن التدابير الأمنية المطبقة في المنظمة التي تعمل بها تراعي نفس مستويات الأمن المطبقة من جانب باقي المنظمات المستأجرة.</w:t>
            </w:r>
          </w:p>
        </w:tc>
      </w:tr>
    </w:tbl>
    <w:p w14:paraId="067B6981" w14:textId="0E7CFC4B" w:rsidR="00495EB4" w:rsidRPr="0082622B" w:rsidRDefault="00495EB4" w:rsidP="00B962A0">
      <w:pPr>
        <w:rPr>
          <w:sz w:val="26"/>
          <w:szCs w:val="26"/>
        </w:rPr>
      </w:pPr>
    </w:p>
    <w:p w14:paraId="68C2A691" w14:textId="38F53210" w:rsidR="00E03006" w:rsidRPr="0082622B" w:rsidRDefault="00DE3993" w:rsidP="006859BB">
      <w:pPr>
        <w:pStyle w:val="ATAHeadingLevel1"/>
        <w:rPr>
          <w:b w:val="0"/>
          <w:bCs/>
          <w:sz w:val="26"/>
          <w:szCs w:val="26"/>
        </w:rPr>
      </w:pPr>
      <w:r w:rsidRPr="0082622B">
        <w:rPr>
          <w:b w:val="0"/>
          <w:bCs/>
          <w:sz w:val="26"/>
          <w:szCs w:val="26"/>
        </w:rPr>
        <w:t>القسم 2: معلومات حول الدائرة التلفزيونية المغلقة</w:t>
      </w:r>
    </w:p>
    <w:p w14:paraId="729E744B" w14:textId="2D4D7C50" w:rsidR="006859BB" w:rsidRPr="0082622B" w:rsidRDefault="006859BB" w:rsidP="006859BB">
      <w:pPr>
        <w:pStyle w:val="ATABody"/>
        <w:rPr>
          <w:sz w:val="26"/>
          <w:szCs w:val="26"/>
        </w:rPr>
      </w:pPr>
      <w:r w:rsidRPr="0082622B">
        <w:rPr>
          <w:sz w:val="26"/>
          <w:szCs w:val="26"/>
        </w:rPr>
        <w:t>وهناك نظام آخر للسياسات والإجراءات يجب تطويره بشأن استخدام دائرة تلفزيونية مغلقة</w:t>
      </w:r>
    </w:p>
    <w:p w14:paraId="09942AD9" w14:textId="6F4C98F2" w:rsidR="006859BB" w:rsidRPr="0082622B" w:rsidRDefault="006859BB" w:rsidP="006859BB">
      <w:pPr>
        <w:pStyle w:val="ATAHeadingLevel2"/>
        <w:rPr>
          <w:b w:val="0"/>
          <w:bCs/>
          <w:sz w:val="26"/>
          <w:szCs w:val="26"/>
        </w:rPr>
      </w:pPr>
      <w:r w:rsidRPr="0082622B">
        <w:rPr>
          <w:b w:val="0"/>
          <w:bCs/>
          <w:sz w:val="26"/>
          <w:szCs w:val="26"/>
        </w:rPr>
        <w:t>الفوائد</w:t>
      </w:r>
    </w:p>
    <w:p w14:paraId="2B77CD91" w14:textId="77777777" w:rsidR="006859BB" w:rsidRPr="0082622B" w:rsidRDefault="006859BB" w:rsidP="006859BB">
      <w:pPr>
        <w:pStyle w:val="ATABulletLevel01BodySlide"/>
        <w:rPr>
          <w:b/>
          <w:bCs w:val="0"/>
          <w:sz w:val="26"/>
          <w:szCs w:val="26"/>
        </w:rPr>
      </w:pPr>
      <w:r w:rsidRPr="0082622B">
        <w:rPr>
          <w:b/>
          <w:bCs w:val="0"/>
          <w:sz w:val="26"/>
          <w:szCs w:val="26"/>
        </w:rPr>
        <w:t>ويساعد على توفير القوى البشرية، خصوصا عندما تستخدم بالتعاون مع أنظمة كشف التسلل وأنظمة التحكم الأوتوماتيكي في الدخول</w:t>
      </w:r>
    </w:p>
    <w:p w14:paraId="2E15FDA2" w14:textId="77777777" w:rsidR="006859BB" w:rsidRPr="0082622B" w:rsidRDefault="006859BB" w:rsidP="006859BB">
      <w:pPr>
        <w:pStyle w:val="ATABulletLevel01BodySlide"/>
        <w:rPr>
          <w:b/>
          <w:bCs w:val="0"/>
          <w:sz w:val="26"/>
          <w:szCs w:val="26"/>
        </w:rPr>
      </w:pPr>
      <w:r w:rsidRPr="0082622B">
        <w:rPr>
          <w:b/>
          <w:bCs w:val="0"/>
          <w:sz w:val="26"/>
          <w:szCs w:val="26"/>
        </w:rPr>
        <w:t>يقوم بدعم إضافي وتوسيع نطاق وزيادة كفاءة النظام الأمني القائم</w:t>
      </w:r>
    </w:p>
    <w:p w14:paraId="143C7B23" w14:textId="1CAFEE0B" w:rsidR="006859BB" w:rsidRPr="0082622B" w:rsidRDefault="006859BB" w:rsidP="006859BB">
      <w:pPr>
        <w:pStyle w:val="ATABulletLevel01BodySlide"/>
        <w:rPr>
          <w:b/>
          <w:bCs w:val="0"/>
          <w:sz w:val="26"/>
          <w:szCs w:val="26"/>
        </w:rPr>
      </w:pPr>
      <w:r w:rsidRPr="0082622B">
        <w:rPr>
          <w:b/>
          <w:bCs w:val="0"/>
          <w:sz w:val="26"/>
          <w:szCs w:val="26"/>
        </w:rPr>
        <w:t>كما تعزز فعالية الأمن المحيطي، خصوصا إذا تم استخدامها للتحقق من إشارات الإنذار التي تبثها أنظمة كشف التسلل المحيطية</w:t>
      </w:r>
    </w:p>
    <w:p w14:paraId="34BDA77C" w14:textId="5FC4919F" w:rsidR="006859BB" w:rsidRPr="0082622B" w:rsidRDefault="006859BB" w:rsidP="006859BB">
      <w:pPr>
        <w:pStyle w:val="ATAHeadingLevel2"/>
        <w:rPr>
          <w:b w:val="0"/>
          <w:bCs/>
          <w:sz w:val="26"/>
          <w:szCs w:val="26"/>
        </w:rPr>
      </w:pPr>
      <w:r w:rsidRPr="0082622B">
        <w:rPr>
          <w:b w:val="0"/>
          <w:bCs/>
          <w:sz w:val="26"/>
          <w:szCs w:val="26"/>
        </w:rPr>
        <w:t>الوظائف</w:t>
      </w:r>
    </w:p>
    <w:p w14:paraId="423735E8" w14:textId="77777777" w:rsidR="006859BB" w:rsidRPr="0082622B" w:rsidRDefault="006859BB" w:rsidP="006859BB">
      <w:pPr>
        <w:pStyle w:val="ATABulletLevel01BodySlide"/>
        <w:rPr>
          <w:b/>
          <w:bCs w:val="0"/>
          <w:sz w:val="26"/>
          <w:szCs w:val="26"/>
        </w:rPr>
      </w:pPr>
      <w:r w:rsidRPr="0082622B">
        <w:rPr>
          <w:b/>
          <w:bCs w:val="0"/>
          <w:sz w:val="26"/>
          <w:szCs w:val="26"/>
        </w:rPr>
        <w:t>تساعد على زيادة فعالية أفراد الأمن</w:t>
      </w:r>
    </w:p>
    <w:p w14:paraId="5B1BE9E9" w14:textId="3CC23EFD" w:rsidR="006859BB" w:rsidRPr="0082622B" w:rsidRDefault="006859BB" w:rsidP="006859BB">
      <w:pPr>
        <w:pStyle w:val="ATABulletLevel01BodySlide"/>
        <w:rPr>
          <w:b/>
          <w:bCs w:val="0"/>
          <w:sz w:val="26"/>
          <w:szCs w:val="26"/>
        </w:rPr>
      </w:pPr>
      <w:r w:rsidRPr="0082622B">
        <w:rPr>
          <w:b/>
          <w:bCs w:val="0"/>
          <w:sz w:val="26"/>
          <w:szCs w:val="26"/>
        </w:rPr>
        <w:t xml:space="preserve">يمكن استخدامها </w:t>
      </w:r>
      <w:r w:rsidR="002E4B75" w:rsidRPr="0082622B">
        <w:rPr>
          <w:rFonts w:hint="cs"/>
          <w:b/>
          <w:bCs w:val="0"/>
          <w:sz w:val="26"/>
          <w:szCs w:val="26"/>
        </w:rPr>
        <w:t>للاستجابات</w:t>
      </w:r>
      <w:r w:rsidRPr="0082622B">
        <w:rPr>
          <w:b/>
          <w:bCs w:val="0"/>
          <w:sz w:val="26"/>
          <w:szCs w:val="26"/>
        </w:rPr>
        <w:t xml:space="preserve"> المباشرة والمساعدة في السيطرة على الحوادث</w:t>
      </w:r>
    </w:p>
    <w:p w14:paraId="58E9674F" w14:textId="77777777" w:rsidR="006859BB" w:rsidRPr="0082622B" w:rsidRDefault="006859BB" w:rsidP="006859BB">
      <w:pPr>
        <w:pStyle w:val="ATABulletLevel01BodySlide"/>
        <w:rPr>
          <w:b/>
          <w:bCs w:val="0"/>
          <w:sz w:val="26"/>
          <w:szCs w:val="26"/>
        </w:rPr>
      </w:pPr>
      <w:r w:rsidRPr="0082622B">
        <w:rPr>
          <w:b/>
          <w:bCs w:val="0"/>
          <w:sz w:val="26"/>
          <w:szCs w:val="26"/>
        </w:rPr>
        <w:t>تردع المتسللين</w:t>
      </w:r>
    </w:p>
    <w:p w14:paraId="0D2D2F79" w14:textId="77777777" w:rsidR="006859BB" w:rsidRPr="0082622B" w:rsidRDefault="006859BB" w:rsidP="006859BB">
      <w:pPr>
        <w:pStyle w:val="ATABulletLevel01BodySlide"/>
        <w:rPr>
          <w:b/>
          <w:bCs w:val="0"/>
          <w:sz w:val="26"/>
          <w:szCs w:val="26"/>
        </w:rPr>
      </w:pPr>
      <w:r w:rsidRPr="0082622B">
        <w:rPr>
          <w:b/>
          <w:bCs w:val="0"/>
          <w:sz w:val="26"/>
          <w:szCs w:val="26"/>
        </w:rPr>
        <w:t>المساعدة في تحليل ما بعد الحادث والتحقيق في الواقعة</w:t>
      </w:r>
    </w:p>
    <w:p w14:paraId="1982EC68" w14:textId="77777777" w:rsidR="006859BB" w:rsidRPr="0082622B" w:rsidRDefault="006859BB" w:rsidP="006859BB">
      <w:pPr>
        <w:pStyle w:val="ATABulletLevel01BodySlide"/>
        <w:rPr>
          <w:b/>
          <w:bCs w:val="0"/>
          <w:sz w:val="26"/>
          <w:szCs w:val="26"/>
        </w:rPr>
      </w:pPr>
      <w:r w:rsidRPr="0082622B">
        <w:rPr>
          <w:b/>
          <w:bCs w:val="0"/>
          <w:sz w:val="26"/>
          <w:szCs w:val="26"/>
        </w:rPr>
        <w:t>المساعدة في السيطرة والتحكم في النفاذ</w:t>
      </w:r>
    </w:p>
    <w:p w14:paraId="4EB41524" w14:textId="77777777" w:rsidR="006859BB" w:rsidRPr="0082622B" w:rsidRDefault="006859BB" w:rsidP="006859BB">
      <w:pPr>
        <w:pStyle w:val="ATABulletLevel01BodySlide"/>
        <w:rPr>
          <w:b/>
          <w:bCs w:val="0"/>
          <w:sz w:val="26"/>
          <w:szCs w:val="26"/>
        </w:rPr>
      </w:pPr>
      <w:r w:rsidRPr="0082622B">
        <w:rPr>
          <w:b/>
          <w:bCs w:val="0"/>
          <w:sz w:val="26"/>
          <w:szCs w:val="26"/>
        </w:rPr>
        <w:t>توفير المعلومات العملياتية العامة للمساعدة في الإشراف على مواقع المنشأة</w:t>
      </w:r>
    </w:p>
    <w:p w14:paraId="6D9BEB3B" w14:textId="77777777" w:rsidR="006859BB" w:rsidRPr="0082622B" w:rsidRDefault="006859BB" w:rsidP="006859BB">
      <w:pPr>
        <w:pStyle w:val="ATABulletLevel01BodySlide"/>
        <w:rPr>
          <w:b/>
          <w:bCs w:val="0"/>
          <w:sz w:val="26"/>
          <w:szCs w:val="26"/>
        </w:rPr>
      </w:pPr>
      <w:r w:rsidRPr="0082622B">
        <w:rPr>
          <w:b/>
          <w:bCs w:val="0"/>
          <w:sz w:val="26"/>
          <w:szCs w:val="26"/>
        </w:rPr>
        <w:t>توفير مراقبة الموقع ليلا</w:t>
      </w:r>
    </w:p>
    <w:p w14:paraId="119C1885" w14:textId="77777777" w:rsidR="006859BB" w:rsidRPr="0082622B" w:rsidRDefault="006859BB" w:rsidP="006859BB">
      <w:pPr>
        <w:pStyle w:val="ATABulletLevel01BodySlide"/>
        <w:rPr>
          <w:b/>
          <w:bCs w:val="0"/>
          <w:sz w:val="26"/>
          <w:szCs w:val="26"/>
        </w:rPr>
      </w:pPr>
      <w:r w:rsidRPr="0082622B">
        <w:rPr>
          <w:b/>
          <w:bCs w:val="0"/>
          <w:sz w:val="26"/>
          <w:szCs w:val="26"/>
        </w:rPr>
        <w:t>يمكن تزويدها بإمكانية رصد عن طريق الفيديو لمراقبة المناطق الخارجية للمنشأة</w:t>
      </w:r>
    </w:p>
    <w:p w14:paraId="4B42E128" w14:textId="2C6550F4" w:rsidR="006859BB" w:rsidRPr="0082622B" w:rsidRDefault="006859BB" w:rsidP="006859BB">
      <w:pPr>
        <w:pStyle w:val="ATABulletLevel01BodySlide"/>
        <w:rPr>
          <w:b/>
          <w:bCs w:val="0"/>
          <w:sz w:val="26"/>
          <w:szCs w:val="26"/>
        </w:rPr>
      </w:pPr>
      <w:r w:rsidRPr="0082622B">
        <w:rPr>
          <w:b/>
          <w:bCs w:val="0"/>
          <w:sz w:val="26"/>
          <w:szCs w:val="26"/>
        </w:rPr>
        <w:t>يمكن استخدامها كأداة إدارية للتحقق من الإنذار الصادر</w:t>
      </w:r>
    </w:p>
    <w:p w14:paraId="131375A7" w14:textId="361BB451" w:rsidR="006859BB" w:rsidRPr="0082622B" w:rsidRDefault="006859BB" w:rsidP="003C0A0B">
      <w:pPr>
        <w:pStyle w:val="ATAHeadingLevel2"/>
        <w:rPr>
          <w:b w:val="0"/>
          <w:bCs/>
          <w:sz w:val="26"/>
          <w:szCs w:val="26"/>
        </w:rPr>
      </w:pPr>
      <w:r w:rsidRPr="0082622B">
        <w:rPr>
          <w:b w:val="0"/>
          <w:bCs/>
          <w:sz w:val="26"/>
          <w:szCs w:val="26"/>
        </w:rPr>
        <w:lastRenderedPageBreak/>
        <w:t>متطلبات الصورة</w:t>
      </w:r>
    </w:p>
    <w:p w14:paraId="6C9548EE" w14:textId="77777777" w:rsidR="006859BB" w:rsidRPr="0082622B" w:rsidRDefault="006859BB" w:rsidP="003C0A0B">
      <w:pPr>
        <w:pStyle w:val="ATABody"/>
        <w:keepNext/>
        <w:rPr>
          <w:sz w:val="26"/>
          <w:szCs w:val="26"/>
        </w:rPr>
      </w:pPr>
    </w:p>
    <w:p w14:paraId="2CEFD19D" w14:textId="36535595" w:rsidR="006859BB" w:rsidRPr="0082622B" w:rsidRDefault="006859BB" w:rsidP="006859BB">
      <w:pPr>
        <w:pStyle w:val="ATABody"/>
        <w:jc w:val="center"/>
        <w:rPr>
          <w:sz w:val="26"/>
          <w:szCs w:val="26"/>
        </w:rPr>
      </w:pPr>
      <w:r w:rsidRPr="0082622B">
        <w:rPr>
          <w:noProof/>
          <w:sz w:val="26"/>
          <w:szCs w:val="26"/>
          <w:lang w:eastAsia="en-US" w:bidi="ar-SA"/>
        </w:rPr>
        <w:drawing>
          <wp:inline distT="0" distB="0" distL="0" distR="0" wp14:anchorId="36071317" wp14:editId="37C24E47">
            <wp:extent cx="5486400" cy="2453054"/>
            <wp:effectExtent l="76200" t="38100" r="133350" b="11874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FE169CE" w14:textId="03B046CE" w:rsidR="006859BB" w:rsidRPr="00721125" w:rsidRDefault="006859BB" w:rsidP="006859BB">
      <w:pPr>
        <w:pStyle w:val="ATAHeadingLevel2"/>
        <w:rPr>
          <w:b w:val="0"/>
          <w:bCs/>
          <w:sz w:val="26"/>
          <w:szCs w:val="26"/>
        </w:rPr>
      </w:pPr>
      <w:r w:rsidRPr="00721125">
        <w:rPr>
          <w:b w:val="0"/>
          <w:bCs/>
          <w:sz w:val="26"/>
          <w:szCs w:val="26"/>
        </w:rPr>
        <w:t>معايير الصورة</w:t>
      </w:r>
    </w:p>
    <w:p w14:paraId="175FBC95" w14:textId="6A3D84A2" w:rsidR="003C0A0B" w:rsidRPr="0082622B" w:rsidRDefault="003C0A0B" w:rsidP="003C0A0B">
      <w:pPr>
        <w:pStyle w:val="ATABody"/>
        <w:rPr>
          <w:sz w:val="26"/>
          <w:szCs w:val="26"/>
        </w:rPr>
      </w:pPr>
      <w:r w:rsidRPr="0082622B">
        <w:rPr>
          <w:sz w:val="26"/>
          <w:szCs w:val="26"/>
        </w:rPr>
        <w:t>يجب أن تكون كاميرات الدوائر التليفزيونية المغلقة جزء لا يتجزأ من نظام الأمن المادي كما يتعين نشرها في المناطق التي تحقق فيها المعايير التالية:</w:t>
      </w:r>
    </w:p>
    <w:p w14:paraId="555C5A7B" w14:textId="77777777" w:rsidR="003C0A0B" w:rsidRPr="00721125" w:rsidRDefault="003C0A0B" w:rsidP="003C0A0B">
      <w:pPr>
        <w:pStyle w:val="ATABulletLevel01BodySlide"/>
        <w:rPr>
          <w:b/>
          <w:bCs w:val="0"/>
          <w:sz w:val="26"/>
          <w:szCs w:val="26"/>
        </w:rPr>
      </w:pPr>
      <w:r w:rsidRPr="00721125">
        <w:rPr>
          <w:b/>
          <w:bCs w:val="0"/>
          <w:sz w:val="26"/>
          <w:szCs w:val="26"/>
        </w:rPr>
        <w:t>تثبيت كاميرات المراقبة بالدوائر التلفزيونية المغلقة بحيث يمكن مراقبة المدخل الرئيسي للدخول والخروج عن طريق المسح (</w:t>
      </w:r>
      <w:r w:rsidRPr="00721125">
        <w:rPr>
          <w:sz w:val="26"/>
          <w:szCs w:val="26"/>
        </w:rPr>
        <w:t>تحديد الهوية</w:t>
      </w:r>
      <w:r w:rsidRPr="00721125">
        <w:rPr>
          <w:b/>
          <w:bCs w:val="0"/>
          <w:sz w:val="26"/>
          <w:szCs w:val="26"/>
        </w:rPr>
        <w:t>).</w:t>
      </w:r>
    </w:p>
    <w:p w14:paraId="5307FF51" w14:textId="77777777" w:rsidR="003C0A0B" w:rsidRPr="00721125" w:rsidRDefault="003C0A0B" w:rsidP="003C0A0B">
      <w:pPr>
        <w:pStyle w:val="ATABulletLevel01BodySlide"/>
        <w:rPr>
          <w:b/>
          <w:bCs w:val="0"/>
          <w:sz w:val="26"/>
          <w:szCs w:val="26"/>
        </w:rPr>
      </w:pPr>
      <w:r w:rsidRPr="00721125">
        <w:rPr>
          <w:b/>
          <w:bCs w:val="0"/>
          <w:sz w:val="26"/>
          <w:szCs w:val="26"/>
        </w:rPr>
        <w:t>استخدام كاميرات في كل منطقة خارجية للسيطرة على النفاذ وبالعمل مع أجهزة الإنتركوم، إذا كانت الرؤية المباشرة للزوار (</w:t>
      </w:r>
      <w:r w:rsidRPr="00721125">
        <w:rPr>
          <w:sz w:val="26"/>
          <w:szCs w:val="26"/>
        </w:rPr>
        <w:t>تحديد الهوية</w:t>
      </w:r>
      <w:r w:rsidRPr="00721125">
        <w:rPr>
          <w:b/>
          <w:bCs w:val="0"/>
          <w:sz w:val="26"/>
          <w:szCs w:val="26"/>
        </w:rPr>
        <w:t>) غير ممكنة.</w:t>
      </w:r>
    </w:p>
    <w:p w14:paraId="65A4F0A1" w14:textId="74DAB012" w:rsidR="006859BB" w:rsidRPr="00721125" w:rsidRDefault="003C0A0B" w:rsidP="003C0A0B">
      <w:pPr>
        <w:pStyle w:val="ATABulletLevel01BodySlide"/>
        <w:rPr>
          <w:b/>
          <w:bCs w:val="0"/>
          <w:sz w:val="26"/>
          <w:szCs w:val="26"/>
        </w:rPr>
      </w:pPr>
      <w:r w:rsidRPr="00721125">
        <w:rPr>
          <w:b/>
          <w:bCs w:val="0"/>
          <w:sz w:val="26"/>
          <w:szCs w:val="26"/>
        </w:rPr>
        <w:t>تدعيم جميع الحواجز المحيطية للسيطرة على النفاذ عن طريق الإنتركوم وكاميرات الدوائر التلفزيونية المغلقة (</w:t>
      </w:r>
      <w:r w:rsidRPr="00721125">
        <w:rPr>
          <w:sz w:val="26"/>
          <w:szCs w:val="26"/>
        </w:rPr>
        <w:t>الإدراك</w:t>
      </w:r>
      <w:r w:rsidRPr="00721125">
        <w:rPr>
          <w:b/>
          <w:bCs w:val="0"/>
          <w:sz w:val="26"/>
          <w:szCs w:val="26"/>
        </w:rPr>
        <w:t>).</w:t>
      </w:r>
    </w:p>
    <w:p w14:paraId="28C7D42C" w14:textId="77777777" w:rsidR="003C0A0B" w:rsidRPr="00721125" w:rsidRDefault="003C0A0B" w:rsidP="003C0A0B">
      <w:pPr>
        <w:pStyle w:val="ATABulletLevel01BodySlide"/>
        <w:rPr>
          <w:b/>
          <w:bCs w:val="0"/>
          <w:sz w:val="26"/>
          <w:szCs w:val="26"/>
        </w:rPr>
      </w:pPr>
      <w:r w:rsidRPr="00721125">
        <w:rPr>
          <w:b/>
          <w:bCs w:val="0"/>
          <w:sz w:val="26"/>
          <w:szCs w:val="26"/>
        </w:rPr>
        <w:t>ضمان أن كاميرات المراقبة بالدوائر التلفزيونية المغلقة توفر المسح المحيطي للمنشأة بدون أية ثغرات (</w:t>
      </w:r>
      <w:r w:rsidRPr="00721125">
        <w:rPr>
          <w:sz w:val="26"/>
          <w:szCs w:val="26"/>
        </w:rPr>
        <w:t>الإدراك</w:t>
      </w:r>
      <w:r w:rsidRPr="00721125">
        <w:rPr>
          <w:b/>
          <w:bCs w:val="0"/>
          <w:sz w:val="26"/>
          <w:szCs w:val="26"/>
        </w:rPr>
        <w:t>).</w:t>
      </w:r>
    </w:p>
    <w:p w14:paraId="152376E0" w14:textId="77777777" w:rsidR="003C0A0B" w:rsidRPr="00721125" w:rsidRDefault="003C0A0B" w:rsidP="003C0A0B">
      <w:pPr>
        <w:pStyle w:val="ATABulletLevel01BodySlide"/>
        <w:rPr>
          <w:b/>
          <w:bCs w:val="0"/>
          <w:sz w:val="26"/>
          <w:szCs w:val="26"/>
        </w:rPr>
      </w:pPr>
      <w:r w:rsidRPr="00721125">
        <w:rPr>
          <w:b/>
          <w:bCs w:val="0"/>
          <w:sz w:val="26"/>
          <w:szCs w:val="26"/>
        </w:rPr>
        <w:t>تركيب كاميرات المراقبة بالدوائر التلفزيونية المغلقة حتى يمكن رؤية أماكن وقوف السيارات (</w:t>
      </w:r>
      <w:r w:rsidRPr="00721125">
        <w:rPr>
          <w:sz w:val="26"/>
          <w:szCs w:val="26"/>
        </w:rPr>
        <w:t>الإدراك</w:t>
      </w:r>
      <w:r w:rsidRPr="00721125">
        <w:rPr>
          <w:b/>
          <w:bCs w:val="0"/>
          <w:sz w:val="26"/>
          <w:szCs w:val="26"/>
        </w:rPr>
        <w:t>).</w:t>
      </w:r>
    </w:p>
    <w:p w14:paraId="0C942F84" w14:textId="77777777" w:rsidR="003C0A0B" w:rsidRPr="00721125" w:rsidRDefault="003C0A0B" w:rsidP="003C0A0B">
      <w:pPr>
        <w:pStyle w:val="ATABulletLevel01BodySlide"/>
        <w:rPr>
          <w:b/>
          <w:bCs w:val="0"/>
          <w:sz w:val="26"/>
          <w:szCs w:val="26"/>
        </w:rPr>
      </w:pPr>
      <w:r w:rsidRPr="00721125">
        <w:rPr>
          <w:b/>
          <w:bCs w:val="0"/>
          <w:sz w:val="26"/>
          <w:szCs w:val="26"/>
        </w:rPr>
        <w:t>وضع كاميرات المراقبة بالدوائر التلفزيونية المغلقة لمسح الدخول والخروج وتغطية المساحات الحساسة والمناطق الثانوية (</w:t>
      </w:r>
      <w:r w:rsidRPr="00721125">
        <w:rPr>
          <w:sz w:val="26"/>
          <w:szCs w:val="26"/>
        </w:rPr>
        <w:t>تحديد الهوية</w:t>
      </w:r>
      <w:r w:rsidRPr="00721125">
        <w:rPr>
          <w:b/>
          <w:bCs w:val="0"/>
          <w:sz w:val="26"/>
          <w:szCs w:val="26"/>
        </w:rPr>
        <w:t xml:space="preserve">) بما في ذلك التعرف على: </w:t>
      </w:r>
    </w:p>
    <w:p w14:paraId="2BEFA103" w14:textId="77777777" w:rsidR="003C0A0B" w:rsidRPr="00721125" w:rsidRDefault="003C0A0B" w:rsidP="003C0A0B">
      <w:pPr>
        <w:pStyle w:val="ATABulletLevel02BodySlide"/>
        <w:rPr>
          <w:b/>
          <w:bCs w:val="0"/>
          <w:sz w:val="26"/>
          <w:szCs w:val="26"/>
        </w:rPr>
      </w:pPr>
      <w:r w:rsidRPr="00721125">
        <w:rPr>
          <w:b/>
          <w:bCs w:val="0"/>
          <w:sz w:val="26"/>
          <w:szCs w:val="26"/>
        </w:rPr>
        <w:t xml:space="preserve">أنظمة الطاقة الاحتياطية بالمنشأة </w:t>
      </w:r>
    </w:p>
    <w:p w14:paraId="2300C390" w14:textId="77777777" w:rsidR="003C0A0B" w:rsidRPr="00721125" w:rsidRDefault="003C0A0B" w:rsidP="003C0A0B">
      <w:pPr>
        <w:pStyle w:val="ATABulletLevel02BodySlide"/>
        <w:rPr>
          <w:b/>
          <w:bCs w:val="0"/>
          <w:sz w:val="26"/>
          <w:szCs w:val="26"/>
        </w:rPr>
      </w:pPr>
      <w:r w:rsidRPr="00721125">
        <w:rPr>
          <w:b/>
          <w:bCs w:val="0"/>
          <w:sz w:val="26"/>
          <w:szCs w:val="26"/>
        </w:rPr>
        <w:t>مركز السيطرة الأمنية</w:t>
      </w:r>
    </w:p>
    <w:p w14:paraId="6F5B2C1F" w14:textId="77777777" w:rsidR="003C0A0B" w:rsidRPr="00721125" w:rsidRDefault="003C0A0B" w:rsidP="003C0A0B">
      <w:pPr>
        <w:pStyle w:val="ATABulletLevel02BodySlide"/>
        <w:rPr>
          <w:b/>
          <w:bCs w:val="0"/>
          <w:sz w:val="26"/>
          <w:szCs w:val="26"/>
        </w:rPr>
      </w:pPr>
      <w:r w:rsidRPr="00721125">
        <w:rPr>
          <w:b/>
          <w:bCs w:val="0"/>
          <w:sz w:val="26"/>
          <w:szCs w:val="26"/>
        </w:rPr>
        <w:t>الإمدادات بالتسخين والتهوية</w:t>
      </w:r>
    </w:p>
    <w:p w14:paraId="17B8A60A" w14:textId="77777777" w:rsidR="003C0A0B" w:rsidRPr="00721125" w:rsidRDefault="003C0A0B" w:rsidP="003C0A0B">
      <w:pPr>
        <w:pStyle w:val="ATABulletLevel02BodySlide"/>
        <w:rPr>
          <w:b/>
          <w:bCs w:val="0"/>
          <w:sz w:val="26"/>
          <w:szCs w:val="26"/>
        </w:rPr>
      </w:pPr>
      <w:r w:rsidRPr="00721125">
        <w:rPr>
          <w:b/>
          <w:bCs w:val="0"/>
          <w:sz w:val="26"/>
          <w:szCs w:val="26"/>
        </w:rPr>
        <w:t xml:space="preserve">غرف مفاتيح التحكم والطاقة (غرف الإمداد بالطاقة) </w:t>
      </w:r>
    </w:p>
    <w:p w14:paraId="21C67C04" w14:textId="77777777" w:rsidR="003C0A0B" w:rsidRPr="00721125" w:rsidRDefault="003C0A0B" w:rsidP="003C0A0B">
      <w:pPr>
        <w:pStyle w:val="ATABulletLevel01BodySlide"/>
        <w:rPr>
          <w:b/>
          <w:bCs w:val="0"/>
          <w:sz w:val="26"/>
          <w:szCs w:val="26"/>
        </w:rPr>
      </w:pPr>
      <w:r w:rsidRPr="00721125">
        <w:rPr>
          <w:b/>
          <w:bCs w:val="0"/>
          <w:sz w:val="26"/>
          <w:szCs w:val="26"/>
        </w:rPr>
        <w:t>التأكد أن كاميرات المراقبة بالدوائر التلفزيونية المغلقة توفر المسح الشامل للمناطق الداخلية (</w:t>
      </w:r>
      <w:r w:rsidRPr="009F3703">
        <w:rPr>
          <w:sz w:val="26"/>
          <w:szCs w:val="26"/>
        </w:rPr>
        <w:t>الإدراك</w:t>
      </w:r>
      <w:r w:rsidRPr="00721125">
        <w:rPr>
          <w:b/>
          <w:bCs w:val="0"/>
          <w:sz w:val="26"/>
          <w:szCs w:val="26"/>
        </w:rPr>
        <w:t>).</w:t>
      </w:r>
    </w:p>
    <w:p w14:paraId="237606CB" w14:textId="569069A3" w:rsidR="003C0A0B" w:rsidRPr="00721125" w:rsidRDefault="003C0A0B" w:rsidP="003C0A0B">
      <w:pPr>
        <w:pStyle w:val="ATABulletLevel01BodySlide"/>
        <w:rPr>
          <w:b/>
          <w:bCs w:val="0"/>
          <w:sz w:val="26"/>
          <w:szCs w:val="26"/>
        </w:rPr>
      </w:pPr>
      <w:r w:rsidRPr="00721125">
        <w:rPr>
          <w:b/>
          <w:bCs w:val="0"/>
          <w:sz w:val="26"/>
          <w:szCs w:val="26"/>
        </w:rPr>
        <w:t>التأكد أن الإضاءة كافية ومتسقة مع كاميرات المراقبة بالدوائر التلفزيونية المغلقة لضمان توفير صور واضحة (</w:t>
      </w:r>
      <w:r w:rsidRPr="009F3703">
        <w:rPr>
          <w:sz w:val="26"/>
          <w:szCs w:val="26"/>
        </w:rPr>
        <w:t>الكشف، والإدراك، وتحديد الهوية</w:t>
      </w:r>
      <w:r w:rsidRPr="00721125">
        <w:rPr>
          <w:b/>
          <w:bCs w:val="0"/>
          <w:sz w:val="26"/>
          <w:szCs w:val="26"/>
        </w:rPr>
        <w:t>).</w:t>
      </w:r>
    </w:p>
    <w:p w14:paraId="2173686F" w14:textId="64F1AF9E" w:rsidR="003C0A0B" w:rsidRPr="00721125" w:rsidRDefault="003C0A0B" w:rsidP="003C0A0B">
      <w:pPr>
        <w:pStyle w:val="ATABulletLevel01BodySlide"/>
        <w:rPr>
          <w:b/>
          <w:bCs w:val="0"/>
          <w:sz w:val="26"/>
          <w:szCs w:val="26"/>
        </w:rPr>
      </w:pPr>
      <w:r w:rsidRPr="00721125">
        <w:rPr>
          <w:b/>
          <w:bCs w:val="0"/>
          <w:sz w:val="26"/>
          <w:szCs w:val="26"/>
        </w:rPr>
        <w:t xml:space="preserve">التحقق من </w:t>
      </w:r>
      <w:r w:rsidR="002E4B75" w:rsidRPr="00721125">
        <w:rPr>
          <w:rFonts w:hint="cs"/>
          <w:b/>
          <w:bCs w:val="0"/>
          <w:sz w:val="26"/>
          <w:szCs w:val="26"/>
        </w:rPr>
        <w:t>أن أنظمة</w:t>
      </w:r>
      <w:r w:rsidRPr="00721125">
        <w:rPr>
          <w:b/>
          <w:bCs w:val="0"/>
          <w:sz w:val="26"/>
          <w:szCs w:val="26"/>
        </w:rPr>
        <w:t xml:space="preserve"> الدوائر التلفزيونية المغلقة قد تم تركيبها بحيث تكون مزودة بفيديوهات رصد الحركة، في الأماكن التي تتطلب ذلك (</w:t>
      </w:r>
      <w:r w:rsidRPr="009F3703">
        <w:rPr>
          <w:sz w:val="26"/>
          <w:szCs w:val="26"/>
        </w:rPr>
        <w:t>الكشف، والإدراك، وتحديد الهوية</w:t>
      </w:r>
      <w:r w:rsidRPr="00721125">
        <w:rPr>
          <w:b/>
          <w:bCs w:val="0"/>
          <w:sz w:val="26"/>
          <w:szCs w:val="26"/>
        </w:rPr>
        <w:t>).</w:t>
      </w:r>
    </w:p>
    <w:p w14:paraId="7D31774A" w14:textId="637A22D1" w:rsidR="003C0A0B" w:rsidRPr="00721125" w:rsidRDefault="003C0A0B" w:rsidP="003C0A0B">
      <w:pPr>
        <w:pStyle w:val="ATABulletLevel01BodySlide"/>
        <w:rPr>
          <w:b/>
          <w:bCs w:val="0"/>
          <w:sz w:val="26"/>
          <w:szCs w:val="26"/>
        </w:rPr>
      </w:pPr>
      <w:r w:rsidRPr="00721125">
        <w:rPr>
          <w:b/>
          <w:bCs w:val="0"/>
          <w:sz w:val="26"/>
          <w:szCs w:val="26"/>
        </w:rPr>
        <w:t>متابعة جميع الأنظمة التليفزيونية ذات الدوائر المغلقة للتأكد أنها سليمة التركيب وفي حالة جيدة وتعمل على مدار 24 ساعة يومياً، سبعة أيام في الأسبوع.</w:t>
      </w:r>
    </w:p>
    <w:p w14:paraId="39098D47" w14:textId="77777777" w:rsidR="003C0A0B" w:rsidRPr="009F3703" w:rsidRDefault="003C0A0B" w:rsidP="003C0A0B">
      <w:pPr>
        <w:pStyle w:val="ATABulletLevel02BodySlide"/>
        <w:rPr>
          <w:b/>
          <w:bCs w:val="0"/>
          <w:sz w:val="26"/>
          <w:szCs w:val="26"/>
        </w:rPr>
      </w:pPr>
      <w:r w:rsidRPr="009F3703">
        <w:rPr>
          <w:b/>
          <w:bCs w:val="0"/>
          <w:sz w:val="26"/>
          <w:szCs w:val="26"/>
        </w:rPr>
        <w:lastRenderedPageBreak/>
        <w:t xml:space="preserve">ضمان تواجد قوة أمنية مدربة جيدا ومتأهبة للتجاوب مع أية إشارات إنذار أو حوادث. </w:t>
      </w:r>
    </w:p>
    <w:p w14:paraId="3E7D9C1C" w14:textId="18C14A3E" w:rsidR="003C0A0B" w:rsidRPr="009F3703" w:rsidRDefault="003C0A0B" w:rsidP="003C0A0B">
      <w:pPr>
        <w:pStyle w:val="ATABulletLevel02BodySlide"/>
        <w:rPr>
          <w:b/>
          <w:bCs w:val="0"/>
          <w:sz w:val="26"/>
          <w:szCs w:val="26"/>
        </w:rPr>
      </w:pPr>
      <w:r w:rsidRPr="009F3703">
        <w:rPr>
          <w:b/>
          <w:bCs w:val="0"/>
          <w:sz w:val="26"/>
          <w:szCs w:val="26"/>
        </w:rPr>
        <w:t xml:space="preserve">يجب أن يكون النظام سهل التحكم عن بعد ومن الفضل أن يكون التسجيل رقمي ويمكن </w:t>
      </w:r>
      <w:r w:rsidR="002E4B75" w:rsidRPr="009F3703">
        <w:rPr>
          <w:rFonts w:hint="cs"/>
          <w:b/>
          <w:bCs w:val="0"/>
          <w:sz w:val="26"/>
          <w:szCs w:val="26"/>
        </w:rPr>
        <w:t>الاحتفاظ</w:t>
      </w:r>
      <w:r w:rsidRPr="009F3703">
        <w:rPr>
          <w:b/>
          <w:bCs w:val="0"/>
          <w:sz w:val="26"/>
          <w:szCs w:val="26"/>
        </w:rPr>
        <w:t xml:space="preserve"> به لمدة 30 يوما على الأقل (</w:t>
      </w:r>
      <w:r w:rsidRPr="009F3703">
        <w:rPr>
          <w:sz w:val="26"/>
          <w:szCs w:val="26"/>
        </w:rPr>
        <w:t>الإدراك، وتحديد الهوية</w:t>
      </w:r>
      <w:r w:rsidRPr="009F3703">
        <w:rPr>
          <w:b/>
          <w:bCs w:val="0"/>
          <w:sz w:val="26"/>
          <w:szCs w:val="26"/>
        </w:rPr>
        <w:t>).</w:t>
      </w:r>
    </w:p>
    <w:p w14:paraId="304A32F8" w14:textId="77777777" w:rsidR="003C0A0B" w:rsidRPr="009F3703" w:rsidRDefault="003C0A0B" w:rsidP="003C0A0B">
      <w:pPr>
        <w:pStyle w:val="ATABulletLevel01BodySlide"/>
        <w:rPr>
          <w:b/>
          <w:bCs w:val="0"/>
          <w:sz w:val="26"/>
          <w:szCs w:val="26"/>
        </w:rPr>
      </w:pPr>
      <w:r w:rsidRPr="009F3703">
        <w:rPr>
          <w:b/>
          <w:bCs w:val="0"/>
          <w:sz w:val="26"/>
          <w:szCs w:val="26"/>
        </w:rPr>
        <w:t>تسجيل الأنظمة، إذا تطلب الأمر، مع سلطات إنفاذ القانون المحلية (</w:t>
      </w:r>
      <w:r w:rsidRPr="009F3703">
        <w:rPr>
          <w:sz w:val="26"/>
          <w:szCs w:val="26"/>
        </w:rPr>
        <w:t>الكشف، والإدراك، وتحديد الهوية</w:t>
      </w:r>
      <w:r w:rsidRPr="009F3703">
        <w:rPr>
          <w:b/>
          <w:bCs w:val="0"/>
          <w:sz w:val="26"/>
          <w:szCs w:val="26"/>
        </w:rPr>
        <w:t>).</w:t>
      </w:r>
    </w:p>
    <w:p w14:paraId="03B2DAB0" w14:textId="77777777" w:rsidR="003C0A0B" w:rsidRPr="0082622B" w:rsidRDefault="003C0A0B" w:rsidP="003C0A0B">
      <w:pPr>
        <w:pStyle w:val="ATABody"/>
        <w:rPr>
          <w:sz w:val="26"/>
          <w:szCs w:val="26"/>
        </w:rPr>
      </w:pPr>
    </w:p>
    <w:p w14:paraId="0301913E" w14:textId="318725F2" w:rsidR="003C0A0B" w:rsidRPr="0082622B" w:rsidRDefault="003C0A0B" w:rsidP="003C0A0B">
      <w:pPr>
        <w:pStyle w:val="ATABody"/>
        <w:rPr>
          <w:sz w:val="26"/>
          <w:szCs w:val="26"/>
        </w:rPr>
      </w:pPr>
      <w:r w:rsidRPr="0082622B">
        <w:rPr>
          <w:sz w:val="26"/>
          <w:szCs w:val="26"/>
        </w:rPr>
        <w:t>ومن المحبذ استخدام الكاميرات الرقمية بالدوائر التلفزيونية المغلقة ويجب أن تكون مطابقة للمواصفات وفقا للتفاصيل المعمول بها حسب توصيات مدير الأمن.</w:t>
      </w:r>
    </w:p>
    <w:p w14:paraId="6C1E47FE" w14:textId="77777777" w:rsidR="003C0A0B" w:rsidRPr="009F3703" w:rsidRDefault="003C0A0B" w:rsidP="003C0A0B">
      <w:pPr>
        <w:pStyle w:val="ATABulletLevel01BodySlide"/>
        <w:rPr>
          <w:b/>
          <w:bCs w:val="0"/>
          <w:sz w:val="26"/>
          <w:szCs w:val="26"/>
        </w:rPr>
      </w:pPr>
      <w:r w:rsidRPr="009F3703">
        <w:rPr>
          <w:b/>
          <w:bCs w:val="0"/>
          <w:sz w:val="26"/>
          <w:szCs w:val="26"/>
        </w:rPr>
        <w:t xml:space="preserve">وتتوقف المواصفات النوعية على نمط المسجل الرقمي المطلوب تركيبه، وتقييم الثمن الخاص بتركيب عدد معين من الكاميرات عند بدء تشغيل النظام مع توقع عدد الكاميرات المرجح استخدامها في المستقبل. </w:t>
      </w:r>
    </w:p>
    <w:p w14:paraId="28C78949" w14:textId="60BCDBC6" w:rsidR="003C0A0B" w:rsidRPr="009F3703" w:rsidRDefault="003C0A0B" w:rsidP="003C0A0B">
      <w:pPr>
        <w:pStyle w:val="ATABulletLevel01BodySlide"/>
        <w:rPr>
          <w:b/>
          <w:bCs w:val="0"/>
          <w:sz w:val="26"/>
          <w:szCs w:val="26"/>
        </w:rPr>
      </w:pPr>
      <w:r w:rsidRPr="009F3703">
        <w:rPr>
          <w:b/>
          <w:bCs w:val="0"/>
          <w:sz w:val="26"/>
          <w:szCs w:val="26"/>
        </w:rPr>
        <w:t>ويجب أن يكون نظام التسجيل الرقمي تحت الإشراف المباشر لمدير القوة الأمنية.</w:t>
      </w:r>
    </w:p>
    <w:p w14:paraId="1C98F90C" w14:textId="3CE2DB16" w:rsidR="006859BB" w:rsidRPr="009F3703" w:rsidRDefault="00DE3993" w:rsidP="00B53220">
      <w:pPr>
        <w:pStyle w:val="ATAHeadingLevel1"/>
        <w:rPr>
          <w:b w:val="0"/>
          <w:bCs/>
          <w:sz w:val="26"/>
          <w:szCs w:val="26"/>
        </w:rPr>
      </w:pPr>
      <w:r w:rsidRPr="009F3703">
        <w:rPr>
          <w:b w:val="0"/>
          <w:bCs/>
          <w:sz w:val="26"/>
          <w:szCs w:val="26"/>
        </w:rPr>
        <w:t>القسم 3: معلومات حول التحكم في الأقفال والمفاتيح</w:t>
      </w:r>
    </w:p>
    <w:p w14:paraId="22BED25A" w14:textId="4A7BFF11" w:rsidR="00B53220" w:rsidRPr="0082622B" w:rsidRDefault="00B53220" w:rsidP="00B53220">
      <w:pPr>
        <w:pStyle w:val="ATABody"/>
        <w:rPr>
          <w:sz w:val="26"/>
          <w:szCs w:val="26"/>
        </w:rPr>
      </w:pPr>
      <w:r w:rsidRPr="0082622B">
        <w:rPr>
          <w:sz w:val="26"/>
          <w:szCs w:val="26"/>
        </w:rPr>
        <w:t>استخدام الإرشادات التالية عند تطوير السياسات والإجراءات الخاصة بالسيطرة على الأقفال والمفاتيح</w:t>
      </w:r>
    </w:p>
    <w:p w14:paraId="11F501D3" w14:textId="4A74DF83" w:rsidR="00B53220" w:rsidRPr="009F3703" w:rsidRDefault="00B53220" w:rsidP="00B53220">
      <w:pPr>
        <w:pStyle w:val="ATAHeadingLevel2"/>
        <w:rPr>
          <w:b w:val="0"/>
          <w:bCs/>
          <w:sz w:val="26"/>
          <w:szCs w:val="26"/>
        </w:rPr>
      </w:pPr>
      <w:r w:rsidRPr="009F3703">
        <w:rPr>
          <w:b w:val="0"/>
          <w:bCs/>
          <w:sz w:val="26"/>
          <w:szCs w:val="26"/>
        </w:rPr>
        <w:t>المعايير</w:t>
      </w:r>
    </w:p>
    <w:p w14:paraId="3EAC767A" w14:textId="77777777" w:rsidR="00B53220" w:rsidRPr="009F3703" w:rsidRDefault="00B53220" w:rsidP="00B53220">
      <w:pPr>
        <w:pStyle w:val="ATABulletLevel01BodySlide"/>
        <w:rPr>
          <w:b/>
          <w:bCs w:val="0"/>
          <w:sz w:val="26"/>
          <w:szCs w:val="26"/>
        </w:rPr>
      </w:pPr>
      <w:r w:rsidRPr="009F3703">
        <w:rPr>
          <w:b/>
          <w:bCs w:val="0"/>
          <w:sz w:val="26"/>
          <w:szCs w:val="26"/>
        </w:rPr>
        <w:t>إصدار المفاتيح بناءً على نظام التعرف على هوية الموظف والمقاول المتعاقد.</w:t>
      </w:r>
    </w:p>
    <w:p w14:paraId="7949F1B2" w14:textId="77777777" w:rsidR="00B53220" w:rsidRPr="009F3703" w:rsidRDefault="00B53220" w:rsidP="00B53220">
      <w:pPr>
        <w:pStyle w:val="ATABulletLevel01BodySlide"/>
        <w:rPr>
          <w:b/>
          <w:bCs w:val="0"/>
          <w:sz w:val="26"/>
          <w:szCs w:val="26"/>
        </w:rPr>
      </w:pPr>
      <w:r w:rsidRPr="009F3703">
        <w:rPr>
          <w:b/>
          <w:bCs w:val="0"/>
          <w:sz w:val="26"/>
          <w:szCs w:val="26"/>
        </w:rPr>
        <w:t>مراعاة حصر عدد النسخ من المفاتيح الخاصة بكل قفل في أقل نطاق ممكن.</w:t>
      </w:r>
    </w:p>
    <w:p w14:paraId="24CA2F87" w14:textId="11AFB451" w:rsidR="00B53220" w:rsidRPr="009F3703" w:rsidRDefault="002E4B75" w:rsidP="00B53220">
      <w:pPr>
        <w:pStyle w:val="ATABulletLevel01BodySlide"/>
        <w:rPr>
          <w:b/>
          <w:bCs w:val="0"/>
          <w:sz w:val="26"/>
          <w:szCs w:val="26"/>
        </w:rPr>
      </w:pPr>
      <w:r w:rsidRPr="009F3703">
        <w:rPr>
          <w:rFonts w:hint="cs"/>
          <w:b/>
          <w:bCs w:val="0"/>
          <w:sz w:val="26"/>
          <w:szCs w:val="26"/>
        </w:rPr>
        <w:t>الاحتفاظ</w:t>
      </w:r>
      <w:r w:rsidR="00B53220" w:rsidRPr="009F3703">
        <w:rPr>
          <w:b/>
          <w:bCs w:val="0"/>
          <w:sz w:val="26"/>
          <w:szCs w:val="26"/>
        </w:rPr>
        <w:t xml:space="preserve"> بسجل (سجل عام للمفاتيح الرئيسية يتم عمله عن طريق القوة الأمنية المحلية) ويوضح التالي:</w:t>
      </w:r>
    </w:p>
    <w:p w14:paraId="1C084BB1" w14:textId="77777777" w:rsidR="00B53220" w:rsidRPr="009F3703" w:rsidRDefault="00B53220" w:rsidP="00B53220">
      <w:pPr>
        <w:pStyle w:val="ATABulletLevel02BodySlide"/>
        <w:rPr>
          <w:b/>
          <w:bCs w:val="0"/>
          <w:sz w:val="26"/>
          <w:szCs w:val="26"/>
        </w:rPr>
      </w:pPr>
      <w:r w:rsidRPr="009F3703">
        <w:rPr>
          <w:b/>
          <w:bCs w:val="0"/>
          <w:sz w:val="26"/>
          <w:szCs w:val="26"/>
        </w:rPr>
        <w:t>تحديد السمات الخاصة بكل مفتاح مثل نمط المفتاح المسجل، ورقم المفتاح، ورقم كل نسخة صادرة منه</w:t>
      </w:r>
    </w:p>
    <w:p w14:paraId="7F53BC89" w14:textId="054C8EA9" w:rsidR="00B53220" w:rsidRPr="009F3703" w:rsidRDefault="00B53220" w:rsidP="00B53220">
      <w:pPr>
        <w:pStyle w:val="ATABulletLevel02BodySlide"/>
        <w:rPr>
          <w:b/>
          <w:bCs w:val="0"/>
          <w:sz w:val="26"/>
          <w:szCs w:val="26"/>
        </w:rPr>
      </w:pPr>
      <w:r w:rsidRPr="009F3703">
        <w:rPr>
          <w:b/>
          <w:bCs w:val="0"/>
          <w:sz w:val="26"/>
          <w:szCs w:val="26"/>
        </w:rPr>
        <w:t>تحديد كافة البيانات عن الأشخاص المسموح لهم بحيازة واستخدام كل مفتاح</w:t>
      </w:r>
    </w:p>
    <w:p w14:paraId="03993706" w14:textId="77777777" w:rsidR="00B53220" w:rsidRPr="009F3703" w:rsidRDefault="00B53220" w:rsidP="00B53220">
      <w:pPr>
        <w:pStyle w:val="ATABulletLevel02BodySlide"/>
        <w:rPr>
          <w:b/>
          <w:bCs w:val="0"/>
          <w:sz w:val="26"/>
          <w:szCs w:val="26"/>
        </w:rPr>
      </w:pPr>
      <w:r w:rsidRPr="009F3703">
        <w:rPr>
          <w:b/>
          <w:bCs w:val="0"/>
          <w:sz w:val="26"/>
          <w:szCs w:val="26"/>
        </w:rPr>
        <w:t>تاريخ تسليم مفتاح العمل (وليس النسخ) لأمين العهدة بعد التوقيع</w:t>
      </w:r>
    </w:p>
    <w:p w14:paraId="176BEE70" w14:textId="77777777" w:rsidR="003C47A4" w:rsidRPr="009F3703" w:rsidRDefault="003C47A4" w:rsidP="003C47A4">
      <w:pPr>
        <w:pStyle w:val="ATABulletLevel01BodySlide"/>
        <w:rPr>
          <w:b/>
          <w:bCs w:val="0"/>
          <w:sz w:val="26"/>
          <w:szCs w:val="26"/>
        </w:rPr>
      </w:pPr>
      <w:r w:rsidRPr="009F3703">
        <w:rPr>
          <w:b/>
          <w:bCs w:val="0"/>
          <w:sz w:val="26"/>
          <w:szCs w:val="26"/>
        </w:rPr>
        <w:t>عمل جرد في نهاية كل يوم من أيام العمل بفحص جميع المفاتيح التي استخدمت بغرض تحقيق حماية مباشرة للأوساط الحساسة بالمنشأة، مع وضع المفاتيح غير المستخدمة في خزنة محكمة الإغلاق بمركز التحكم الأمني.</w:t>
      </w:r>
    </w:p>
    <w:p w14:paraId="22A7080B" w14:textId="2662C76E" w:rsidR="003C47A4" w:rsidRPr="009F3703" w:rsidRDefault="003C47A4" w:rsidP="003C47A4">
      <w:pPr>
        <w:pStyle w:val="ATABulletLevel01BodySlide"/>
        <w:rPr>
          <w:b/>
          <w:bCs w:val="0"/>
          <w:sz w:val="26"/>
          <w:szCs w:val="26"/>
        </w:rPr>
      </w:pPr>
      <w:r w:rsidRPr="009F3703">
        <w:rPr>
          <w:b/>
          <w:bCs w:val="0"/>
          <w:sz w:val="26"/>
          <w:szCs w:val="26"/>
        </w:rPr>
        <w:t xml:space="preserve">ضمان أن المفاتيح غير متاحة </w:t>
      </w:r>
      <w:r w:rsidR="002E4B75" w:rsidRPr="009F3703">
        <w:rPr>
          <w:rFonts w:hint="cs"/>
          <w:b/>
          <w:bCs w:val="0"/>
          <w:sz w:val="26"/>
          <w:szCs w:val="26"/>
        </w:rPr>
        <w:t>للأشخاص</w:t>
      </w:r>
      <w:r w:rsidRPr="009F3703">
        <w:rPr>
          <w:b/>
          <w:bCs w:val="0"/>
          <w:sz w:val="26"/>
          <w:szCs w:val="26"/>
        </w:rPr>
        <w:t xml:space="preserve"> غير المأذونين بالنفاذ للمواد أو للغرفة (المساحة) التي يحميها القفل.</w:t>
      </w:r>
    </w:p>
    <w:p w14:paraId="28F9774E" w14:textId="7CEC612A" w:rsidR="00B53220" w:rsidRPr="009F3703" w:rsidRDefault="003C47A4" w:rsidP="003C47A4">
      <w:pPr>
        <w:pStyle w:val="ATABulletLevel01BodySlide"/>
        <w:rPr>
          <w:b/>
          <w:bCs w:val="0"/>
          <w:sz w:val="26"/>
          <w:szCs w:val="26"/>
        </w:rPr>
      </w:pPr>
      <w:r w:rsidRPr="009F3703">
        <w:rPr>
          <w:b/>
          <w:bCs w:val="0"/>
          <w:sz w:val="26"/>
          <w:szCs w:val="26"/>
        </w:rPr>
        <w:t>عدم مغادرة المفاتيح الأمنية إلى خارج المنشأة بدون تصريح محدد من قائد الأمن.</w:t>
      </w:r>
    </w:p>
    <w:p w14:paraId="00F95EF6" w14:textId="77777777" w:rsidR="003C47A4" w:rsidRPr="009F3703" w:rsidRDefault="003C47A4" w:rsidP="003C47A4">
      <w:pPr>
        <w:pStyle w:val="ATABulletLevel02BodySlide"/>
        <w:rPr>
          <w:b/>
          <w:bCs w:val="0"/>
          <w:sz w:val="26"/>
          <w:szCs w:val="26"/>
        </w:rPr>
      </w:pPr>
      <w:r w:rsidRPr="009F3703">
        <w:rPr>
          <w:b/>
          <w:bCs w:val="0"/>
          <w:sz w:val="26"/>
          <w:szCs w:val="26"/>
        </w:rPr>
        <w:t>معاملة المفاتيح الأمنية المستخدمة بنفس الدرجة من الحساسية والقيمة التي للمواد والأوساط التي تحميها.</w:t>
      </w:r>
    </w:p>
    <w:p w14:paraId="29E1F5A3" w14:textId="79BCBB8F" w:rsidR="003C47A4" w:rsidRPr="009F3703" w:rsidRDefault="003C47A4" w:rsidP="003C47A4">
      <w:pPr>
        <w:pStyle w:val="ATABulletLevel02BodySlide"/>
        <w:rPr>
          <w:b/>
          <w:bCs w:val="0"/>
          <w:sz w:val="26"/>
          <w:szCs w:val="26"/>
        </w:rPr>
      </w:pPr>
      <w:r w:rsidRPr="009F3703">
        <w:rPr>
          <w:b/>
          <w:bCs w:val="0"/>
          <w:sz w:val="26"/>
          <w:szCs w:val="26"/>
        </w:rPr>
        <w:t>بالإضافة إلى تخزينها، وحمايتها، والتعامل معها وفقاً لذلك.</w:t>
      </w:r>
    </w:p>
    <w:p w14:paraId="18DAEBD6" w14:textId="77777777" w:rsidR="003C47A4" w:rsidRPr="009F3703" w:rsidRDefault="003C47A4" w:rsidP="003C47A4">
      <w:pPr>
        <w:pStyle w:val="ATABulletLevel01BodySlide"/>
        <w:rPr>
          <w:b/>
          <w:bCs w:val="0"/>
          <w:sz w:val="26"/>
          <w:szCs w:val="26"/>
        </w:rPr>
      </w:pPr>
      <w:r w:rsidRPr="009F3703">
        <w:rPr>
          <w:b/>
          <w:bCs w:val="0"/>
          <w:sz w:val="26"/>
          <w:szCs w:val="26"/>
        </w:rPr>
        <w:t>يتعين إجراء فحص دوري على جميع المفاتيح للتأكد من أماكن وجودها وظروف استخدامها</w:t>
      </w:r>
    </w:p>
    <w:p w14:paraId="42446487" w14:textId="21962B90" w:rsidR="003C47A4" w:rsidRPr="009F3703" w:rsidRDefault="003C47A4" w:rsidP="003C47A4">
      <w:pPr>
        <w:pStyle w:val="ATABulletLevel01BodySlide"/>
        <w:rPr>
          <w:b/>
          <w:bCs w:val="0"/>
          <w:sz w:val="26"/>
          <w:szCs w:val="26"/>
        </w:rPr>
      </w:pPr>
      <w:r w:rsidRPr="009F3703">
        <w:rPr>
          <w:b/>
          <w:bCs w:val="0"/>
          <w:sz w:val="26"/>
          <w:szCs w:val="26"/>
        </w:rPr>
        <w:t>يتعين تغيير المفاتيح والكودات الرقمية عندما تحدث أية وقائع كالتالي:</w:t>
      </w:r>
    </w:p>
    <w:p w14:paraId="5D85720A" w14:textId="77777777" w:rsidR="003C47A4" w:rsidRPr="009F3703" w:rsidRDefault="003C47A4" w:rsidP="003C47A4">
      <w:pPr>
        <w:pStyle w:val="ATABulletLevel02BodySlide"/>
        <w:rPr>
          <w:b/>
          <w:bCs w:val="0"/>
          <w:sz w:val="26"/>
          <w:szCs w:val="26"/>
        </w:rPr>
      </w:pPr>
      <w:r w:rsidRPr="009F3703">
        <w:rPr>
          <w:b/>
          <w:bCs w:val="0"/>
          <w:sz w:val="26"/>
          <w:szCs w:val="26"/>
        </w:rPr>
        <w:t>ضياع المفاتيح أو نسخها بطريقة غير مأذونة</w:t>
      </w:r>
    </w:p>
    <w:p w14:paraId="6374D4EE" w14:textId="77777777" w:rsidR="003C47A4" w:rsidRPr="009F3703" w:rsidRDefault="003C47A4" w:rsidP="003C47A4">
      <w:pPr>
        <w:pStyle w:val="ATABulletLevel02BodySlide"/>
        <w:rPr>
          <w:b/>
          <w:bCs w:val="0"/>
          <w:sz w:val="26"/>
          <w:szCs w:val="26"/>
        </w:rPr>
      </w:pPr>
      <w:r w:rsidRPr="009F3703">
        <w:rPr>
          <w:b/>
          <w:bCs w:val="0"/>
          <w:sz w:val="26"/>
          <w:szCs w:val="26"/>
        </w:rPr>
        <w:t>الشك في ضياع المفاتيح أو نسخها بطريقة غير مأذونة</w:t>
      </w:r>
    </w:p>
    <w:p w14:paraId="141997F7" w14:textId="77777777" w:rsidR="003C47A4" w:rsidRPr="009F3703" w:rsidRDefault="003C47A4" w:rsidP="003C47A4">
      <w:pPr>
        <w:pStyle w:val="ATABulletLevel02BodySlide"/>
        <w:rPr>
          <w:b/>
          <w:bCs w:val="0"/>
          <w:sz w:val="26"/>
          <w:szCs w:val="26"/>
        </w:rPr>
      </w:pPr>
      <w:r w:rsidRPr="009F3703">
        <w:rPr>
          <w:b/>
          <w:bCs w:val="0"/>
          <w:sz w:val="26"/>
          <w:szCs w:val="26"/>
        </w:rPr>
        <w:t>إنهاء خدمة أي موظف كانت بحوزته تلك المفاتيح</w:t>
      </w:r>
    </w:p>
    <w:p w14:paraId="34E7889E" w14:textId="77777777" w:rsidR="003C47A4" w:rsidRPr="009F3703" w:rsidRDefault="003C47A4" w:rsidP="003C47A4">
      <w:pPr>
        <w:pStyle w:val="ATABulletLevel02BodySlide"/>
        <w:rPr>
          <w:b/>
          <w:bCs w:val="0"/>
          <w:sz w:val="26"/>
          <w:szCs w:val="26"/>
        </w:rPr>
      </w:pPr>
      <w:r w:rsidRPr="009F3703">
        <w:rPr>
          <w:b/>
          <w:bCs w:val="0"/>
          <w:sz w:val="26"/>
          <w:szCs w:val="26"/>
        </w:rPr>
        <w:t>بصفة دورية (مثلا، كل 90 يوم)</w:t>
      </w:r>
    </w:p>
    <w:p w14:paraId="7FF3A0D9" w14:textId="54F117ED" w:rsidR="003C47A4" w:rsidRPr="009F3703" w:rsidRDefault="003C47A4" w:rsidP="003C47A4">
      <w:pPr>
        <w:pStyle w:val="ATAHeadingLevel2"/>
        <w:rPr>
          <w:b w:val="0"/>
          <w:bCs/>
          <w:sz w:val="26"/>
          <w:szCs w:val="26"/>
        </w:rPr>
      </w:pPr>
      <w:r w:rsidRPr="009F3703">
        <w:rPr>
          <w:b w:val="0"/>
          <w:bCs/>
          <w:sz w:val="26"/>
          <w:szCs w:val="26"/>
        </w:rPr>
        <w:t xml:space="preserve">المفاتيح </w:t>
      </w:r>
      <w:r w:rsidR="002E4B75" w:rsidRPr="009F3703">
        <w:rPr>
          <w:rFonts w:hint="cs"/>
          <w:b w:val="0"/>
          <w:bCs/>
          <w:sz w:val="26"/>
          <w:szCs w:val="26"/>
        </w:rPr>
        <w:t>الاحتياطية</w:t>
      </w:r>
    </w:p>
    <w:p w14:paraId="165A231F" w14:textId="01ED9FD4" w:rsidR="003C47A4" w:rsidRPr="009F3703" w:rsidRDefault="003C47A4" w:rsidP="003C47A4">
      <w:pPr>
        <w:pStyle w:val="ATABulletLevel01BodySlide"/>
        <w:rPr>
          <w:b/>
          <w:bCs w:val="0"/>
          <w:sz w:val="26"/>
          <w:szCs w:val="26"/>
        </w:rPr>
      </w:pPr>
      <w:r w:rsidRPr="009F3703">
        <w:rPr>
          <w:b/>
          <w:bCs w:val="0"/>
          <w:sz w:val="26"/>
          <w:szCs w:val="26"/>
        </w:rPr>
        <w:t xml:space="preserve">وضع المفاتيح </w:t>
      </w:r>
      <w:r w:rsidR="002E4B75" w:rsidRPr="009F3703">
        <w:rPr>
          <w:rFonts w:hint="cs"/>
          <w:b/>
          <w:bCs w:val="0"/>
          <w:sz w:val="26"/>
          <w:szCs w:val="26"/>
        </w:rPr>
        <w:t>الاحتياطية</w:t>
      </w:r>
      <w:r w:rsidRPr="009F3703">
        <w:rPr>
          <w:b/>
          <w:bCs w:val="0"/>
          <w:sz w:val="26"/>
          <w:szCs w:val="26"/>
        </w:rPr>
        <w:t xml:space="preserve"> في خزائن أمنية مغلقة ومطابقة للمواصفات وتخضع تحت إشراف أحد الأفراد العاملين</w:t>
      </w:r>
    </w:p>
    <w:p w14:paraId="1B022B04" w14:textId="27C9D9EA" w:rsidR="003C47A4" w:rsidRPr="009F3703" w:rsidRDefault="003C47A4" w:rsidP="003C47A4">
      <w:pPr>
        <w:pStyle w:val="ATABulletLevel01BodySlide"/>
        <w:rPr>
          <w:b/>
          <w:bCs w:val="0"/>
          <w:sz w:val="26"/>
          <w:szCs w:val="26"/>
        </w:rPr>
      </w:pPr>
      <w:r w:rsidRPr="009F3703">
        <w:rPr>
          <w:b/>
          <w:bCs w:val="0"/>
          <w:sz w:val="26"/>
          <w:szCs w:val="26"/>
        </w:rPr>
        <w:lastRenderedPageBreak/>
        <w:t xml:space="preserve">يجب عدم </w:t>
      </w:r>
      <w:r w:rsidR="002E4B75" w:rsidRPr="009F3703">
        <w:rPr>
          <w:rFonts w:hint="cs"/>
          <w:b/>
          <w:bCs w:val="0"/>
          <w:sz w:val="26"/>
          <w:szCs w:val="26"/>
        </w:rPr>
        <w:t>الاحتفاظ</w:t>
      </w:r>
      <w:r w:rsidRPr="009F3703">
        <w:rPr>
          <w:b/>
          <w:bCs w:val="0"/>
          <w:sz w:val="26"/>
          <w:szCs w:val="26"/>
        </w:rPr>
        <w:t xml:space="preserve"> بالمفاتيح </w:t>
      </w:r>
      <w:r w:rsidR="002E4B75" w:rsidRPr="009F3703">
        <w:rPr>
          <w:rFonts w:hint="cs"/>
          <w:b/>
          <w:bCs w:val="0"/>
          <w:sz w:val="26"/>
          <w:szCs w:val="26"/>
        </w:rPr>
        <w:t>الاحتياطية</w:t>
      </w:r>
      <w:r w:rsidRPr="009F3703">
        <w:rPr>
          <w:b/>
          <w:bCs w:val="0"/>
          <w:sz w:val="26"/>
          <w:szCs w:val="26"/>
        </w:rPr>
        <w:t xml:space="preserve"> في نفس الخزنة التي تحتوي على المفاتيح الأصلية</w:t>
      </w:r>
    </w:p>
    <w:p w14:paraId="3D38E842" w14:textId="77777777" w:rsidR="003C47A4" w:rsidRPr="009F3703" w:rsidRDefault="003C47A4" w:rsidP="003C47A4">
      <w:pPr>
        <w:pStyle w:val="ATABulletLevel01BodySlide"/>
        <w:rPr>
          <w:b/>
          <w:bCs w:val="0"/>
          <w:sz w:val="26"/>
          <w:szCs w:val="26"/>
        </w:rPr>
      </w:pPr>
      <w:r w:rsidRPr="009F3703">
        <w:rPr>
          <w:b/>
          <w:bCs w:val="0"/>
          <w:sz w:val="26"/>
          <w:szCs w:val="26"/>
        </w:rPr>
        <w:t>إصدار المفتاح الإضافي فقط للأشخاص الذين لديهم تصريح بالنفاذ للمنطقة أو المواد التي يحميها القفل ولا تُعطى إلا بعد التوثيق والتأكد أن المفتاح الأصلي وُضع في المكان الخطأ أو فُقد.</w:t>
      </w:r>
    </w:p>
    <w:p w14:paraId="4B330178" w14:textId="77777777" w:rsidR="003C47A4" w:rsidRPr="009F3703" w:rsidRDefault="003C47A4" w:rsidP="003C47A4">
      <w:pPr>
        <w:pStyle w:val="ATABulletLevel01BodySlide"/>
        <w:rPr>
          <w:b/>
          <w:bCs w:val="0"/>
          <w:sz w:val="26"/>
          <w:szCs w:val="26"/>
        </w:rPr>
      </w:pPr>
      <w:r w:rsidRPr="009F3703">
        <w:rPr>
          <w:b/>
          <w:bCs w:val="0"/>
          <w:sz w:val="26"/>
          <w:szCs w:val="26"/>
        </w:rPr>
        <w:t>تسجيل التفاصيل الخاصة بكل مفتاح إضافي تم إصداره.</w:t>
      </w:r>
    </w:p>
    <w:p w14:paraId="35CB1E69" w14:textId="3F1EFABE" w:rsidR="003C47A4" w:rsidRPr="009F3703" w:rsidRDefault="003C47A4" w:rsidP="003C47A4">
      <w:pPr>
        <w:pStyle w:val="ATABulletLevel01BodySlide"/>
        <w:rPr>
          <w:b/>
          <w:bCs w:val="0"/>
          <w:sz w:val="26"/>
          <w:szCs w:val="26"/>
        </w:rPr>
      </w:pPr>
      <w:r w:rsidRPr="009F3703">
        <w:rPr>
          <w:b/>
          <w:bCs w:val="0"/>
          <w:sz w:val="26"/>
          <w:szCs w:val="26"/>
        </w:rPr>
        <w:t xml:space="preserve">توزيع المفاتيح الإضافية فقط بعد </w:t>
      </w:r>
      <w:r w:rsidR="002E4B75" w:rsidRPr="009F3703">
        <w:rPr>
          <w:rFonts w:hint="cs"/>
          <w:b/>
          <w:bCs w:val="0"/>
          <w:sz w:val="26"/>
          <w:szCs w:val="26"/>
        </w:rPr>
        <w:t>الاطلاع</w:t>
      </w:r>
      <w:r w:rsidRPr="009F3703">
        <w:rPr>
          <w:b/>
          <w:bCs w:val="0"/>
          <w:sz w:val="26"/>
          <w:szCs w:val="26"/>
        </w:rPr>
        <w:t xml:space="preserve"> على تصريح كتابي من رئيس ضباط الأمن</w:t>
      </w:r>
    </w:p>
    <w:p w14:paraId="313D98E2" w14:textId="717601E9" w:rsidR="003C47A4" w:rsidRPr="009F3703" w:rsidRDefault="003C47A4" w:rsidP="003C47A4">
      <w:pPr>
        <w:pStyle w:val="ATAHeadingLevel2"/>
        <w:rPr>
          <w:b w:val="0"/>
          <w:bCs/>
          <w:sz w:val="26"/>
          <w:szCs w:val="26"/>
        </w:rPr>
      </w:pPr>
      <w:r w:rsidRPr="009F3703">
        <w:rPr>
          <w:b w:val="0"/>
          <w:bCs/>
          <w:sz w:val="26"/>
          <w:szCs w:val="26"/>
        </w:rPr>
        <w:t>توسيم المفاتيح</w:t>
      </w:r>
    </w:p>
    <w:p w14:paraId="00691F0E" w14:textId="0CEDFEBB" w:rsidR="003C47A4" w:rsidRPr="009F3703" w:rsidRDefault="00762BBB" w:rsidP="003C47A4">
      <w:pPr>
        <w:pStyle w:val="ATABulletLevel01BodySlide"/>
        <w:rPr>
          <w:b/>
          <w:bCs w:val="0"/>
          <w:sz w:val="26"/>
          <w:szCs w:val="26"/>
        </w:rPr>
      </w:pPr>
      <w:r w:rsidRPr="009F3703">
        <w:rPr>
          <w:b/>
          <w:bCs w:val="0"/>
          <w:sz w:val="26"/>
          <w:szCs w:val="26"/>
        </w:rPr>
        <w:t xml:space="preserve">يجب وضع علامات مميزة وواضحة على المفاتيح لتسهيل </w:t>
      </w:r>
      <w:r w:rsidR="002E4B75" w:rsidRPr="009F3703">
        <w:rPr>
          <w:rFonts w:hint="cs"/>
          <w:b/>
          <w:bCs w:val="0"/>
          <w:sz w:val="26"/>
          <w:szCs w:val="26"/>
        </w:rPr>
        <w:t>الاستخدام</w:t>
      </w:r>
      <w:r w:rsidRPr="009F3703">
        <w:rPr>
          <w:b/>
          <w:bCs w:val="0"/>
          <w:sz w:val="26"/>
          <w:szCs w:val="26"/>
        </w:rPr>
        <w:t xml:space="preserve"> اليومي مع تخصيص لوحات تعليق خاصة لكل مفتاح</w:t>
      </w:r>
    </w:p>
    <w:p w14:paraId="5BD9103C" w14:textId="2EBF2CBE" w:rsidR="003C47A4" w:rsidRPr="009F3703" w:rsidRDefault="002E4B75" w:rsidP="003C47A4">
      <w:pPr>
        <w:pStyle w:val="ATABulletLevel01BodySlide"/>
        <w:rPr>
          <w:b/>
          <w:bCs w:val="0"/>
          <w:sz w:val="26"/>
          <w:szCs w:val="26"/>
        </w:rPr>
      </w:pPr>
      <w:r w:rsidRPr="009F3703">
        <w:rPr>
          <w:rFonts w:hint="cs"/>
          <w:b/>
          <w:bCs w:val="0"/>
          <w:sz w:val="26"/>
          <w:szCs w:val="26"/>
        </w:rPr>
        <w:t>لا يجب</w:t>
      </w:r>
      <w:r w:rsidR="00762BBB" w:rsidRPr="009F3703">
        <w:rPr>
          <w:b/>
          <w:bCs w:val="0"/>
          <w:sz w:val="26"/>
          <w:szCs w:val="26"/>
        </w:rPr>
        <w:t xml:space="preserve"> الإفصاح عن الأبواب المعينة التي يفتحها المفتاح مثل:</w:t>
      </w:r>
    </w:p>
    <w:p w14:paraId="3150B7D3" w14:textId="77777777" w:rsidR="003C47A4" w:rsidRPr="009F3703" w:rsidRDefault="003C47A4" w:rsidP="003C47A4">
      <w:pPr>
        <w:pStyle w:val="ATABulletLevel02BodySlide"/>
        <w:rPr>
          <w:b/>
          <w:bCs w:val="0"/>
          <w:sz w:val="26"/>
          <w:szCs w:val="26"/>
        </w:rPr>
      </w:pPr>
      <w:r w:rsidRPr="009F3703">
        <w:rPr>
          <w:b/>
          <w:bCs w:val="0"/>
          <w:sz w:val="26"/>
          <w:szCs w:val="26"/>
        </w:rPr>
        <w:t>البوابة</w:t>
      </w:r>
    </w:p>
    <w:p w14:paraId="00A8DC58" w14:textId="77777777" w:rsidR="003C47A4" w:rsidRPr="009F3703" w:rsidRDefault="003C47A4" w:rsidP="003C47A4">
      <w:pPr>
        <w:pStyle w:val="ATABulletLevel02BodySlide"/>
        <w:rPr>
          <w:b/>
          <w:bCs w:val="0"/>
          <w:sz w:val="26"/>
          <w:szCs w:val="26"/>
        </w:rPr>
      </w:pPr>
      <w:r w:rsidRPr="009F3703">
        <w:rPr>
          <w:b/>
          <w:bCs w:val="0"/>
          <w:sz w:val="26"/>
          <w:szCs w:val="26"/>
        </w:rPr>
        <w:t xml:space="preserve">الباب </w:t>
      </w:r>
    </w:p>
    <w:p w14:paraId="6919C268" w14:textId="77777777" w:rsidR="003C47A4" w:rsidRPr="009F3703" w:rsidRDefault="003C47A4" w:rsidP="003C47A4">
      <w:pPr>
        <w:pStyle w:val="ATABulletLevel02BodySlide"/>
        <w:rPr>
          <w:b/>
          <w:bCs w:val="0"/>
          <w:sz w:val="26"/>
          <w:szCs w:val="26"/>
        </w:rPr>
      </w:pPr>
      <w:r w:rsidRPr="009F3703">
        <w:rPr>
          <w:b/>
          <w:bCs w:val="0"/>
          <w:sz w:val="26"/>
          <w:szCs w:val="26"/>
        </w:rPr>
        <w:t>الحاوية</w:t>
      </w:r>
    </w:p>
    <w:p w14:paraId="231ED8F5" w14:textId="32A081C6" w:rsidR="003C47A4" w:rsidRPr="009F3703" w:rsidRDefault="00762BBB" w:rsidP="00BB2002">
      <w:pPr>
        <w:pStyle w:val="ATABulletLevel01BodySlide"/>
        <w:rPr>
          <w:b/>
          <w:bCs w:val="0"/>
          <w:sz w:val="26"/>
          <w:szCs w:val="26"/>
        </w:rPr>
      </w:pPr>
      <w:r w:rsidRPr="009F3703">
        <w:rPr>
          <w:b/>
          <w:bCs w:val="0"/>
          <w:sz w:val="26"/>
          <w:szCs w:val="26"/>
        </w:rPr>
        <w:t>فحص سلسلة المفاتيح أو الحلقات بصفة دورية للتأكد أن المفاتيح مثبتة وغير معرضة للسقوط سهوا. ملاحظة: حلقة المفتاح هي أحد وسائل التأمين. هي جهاز صغير به آلية مثبتة للتحكم والتأكد من الموثوقية بشأن النفاذ إلى خدمات الشبكة والمعلومات.</w:t>
      </w:r>
    </w:p>
    <w:p w14:paraId="38858501" w14:textId="77777777" w:rsidR="00762BBB" w:rsidRPr="009F3703" w:rsidRDefault="00762BBB" w:rsidP="00762BBB">
      <w:pPr>
        <w:pStyle w:val="ATABody"/>
        <w:rPr>
          <w:b/>
          <w:sz w:val="26"/>
          <w:szCs w:val="26"/>
        </w:rPr>
      </w:pPr>
    </w:p>
    <w:sectPr w:rsidR="00762BBB" w:rsidRPr="009F3703" w:rsidSect="00C644D9">
      <w:headerReference w:type="default"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3F9CB" w14:textId="77777777" w:rsidR="00823341" w:rsidRDefault="00823341" w:rsidP="00C82114">
      <w:r>
        <w:separator/>
      </w:r>
    </w:p>
  </w:endnote>
  <w:endnote w:type="continuationSeparator" w:id="0">
    <w:p w14:paraId="2ECC9DDA" w14:textId="77777777" w:rsidR="00823341" w:rsidRDefault="00823341"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82622B" w14:paraId="067B698E" w14:textId="77777777" w:rsidTr="0082622B">
      <w:tc>
        <w:tcPr>
          <w:tcW w:w="8100" w:type="dxa"/>
          <w:shd w:val="clear" w:color="auto" w:fill="auto"/>
        </w:tcPr>
        <w:p w14:paraId="067B698C" w14:textId="261C513D" w:rsidR="00C305B2" w:rsidRPr="0082622B" w:rsidRDefault="00525366" w:rsidP="0082622B">
          <w:pPr>
            <w:pStyle w:val="ATAFooter"/>
            <w:bidi w:val="0"/>
            <w:rPr>
              <w:rStyle w:val="ATAFooterChar"/>
              <w:rFonts w:eastAsia="Arial Unicode MS"/>
              <w:color w:val="000000" w:themeColor="text1"/>
              <w:szCs w:val="18"/>
            </w:rPr>
          </w:pPr>
          <w:r w:rsidRPr="0082622B">
            <w:rPr>
              <w:color w:val="000000" w:themeColor="text1"/>
              <w:szCs w:val="18"/>
              <w:rtl w:val="0"/>
            </w:rPr>
            <w:t xml:space="preserve">Critical Infrastructure Security and Resilience (CISR) </w:t>
          </w:r>
          <w:r w:rsidRPr="0082622B">
            <w:rPr>
              <w:rStyle w:val="PlaceholderText"/>
              <w:color w:val="000000" w:themeColor="text1"/>
              <w:szCs w:val="18"/>
              <w:rtl w:val="0"/>
            </w:rPr>
            <w:t>v4.00</w:t>
          </w:r>
        </w:p>
      </w:tc>
      <w:tc>
        <w:tcPr>
          <w:tcW w:w="1260" w:type="dxa"/>
          <w:shd w:val="clear" w:color="auto" w:fill="auto"/>
        </w:tcPr>
        <w:p w14:paraId="067B698D" w14:textId="3FE188BB" w:rsidR="00C305B2" w:rsidRPr="0082622B" w:rsidRDefault="00C305B2" w:rsidP="0082622B">
          <w:pPr>
            <w:pStyle w:val="ATAFooter"/>
            <w:bidi w:val="0"/>
            <w:jc w:val="right"/>
            <w:rPr>
              <w:szCs w:val="18"/>
            </w:rPr>
          </w:pPr>
          <w:r w:rsidRPr="0082622B">
            <w:rPr>
              <w:rStyle w:val="ATAFooterChar"/>
              <w:szCs w:val="18"/>
              <w:rtl w:val="0"/>
            </w:rPr>
            <w:t xml:space="preserve">Page </w:t>
          </w:r>
          <w:r w:rsidRPr="0082622B">
            <w:rPr>
              <w:rStyle w:val="ATAFooterChar"/>
              <w:rFonts w:eastAsia="Arial Unicode MS"/>
              <w:szCs w:val="18"/>
            </w:rPr>
            <w:fldChar w:fldCharType="begin"/>
          </w:r>
          <w:r w:rsidRPr="0082622B">
            <w:rPr>
              <w:rStyle w:val="ATAFooterChar"/>
              <w:rFonts w:eastAsia="Arial Unicode MS"/>
              <w:szCs w:val="18"/>
            </w:rPr>
            <w:instrText xml:space="preserve"> PAGE </w:instrText>
          </w:r>
          <w:r w:rsidRPr="0082622B">
            <w:rPr>
              <w:rStyle w:val="ATAFooterChar"/>
              <w:rFonts w:eastAsia="Arial Unicode MS"/>
              <w:szCs w:val="18"/>
            </w:rPr>
            <w:fldChar w:fldCharType="separate"/>
          </w:r>
          <w:r w:rsidR="00543AB6">
            <w:rPr>
              <w:rStyle w:val="ATAFooterChar"/>
              <w:rFonts w:eastAsia="Arial Unicode MS"/>
              <w:noProof/>
              <w:szCs w:val="18"/>
            </w:rPr>
            <w:t>1</w:t>
          </w:r>
          <w:r w:rsidRPr="0082622B">
            <w:rPr>
              <w:rStyle w:val="ATAFooterChar"/>
              <w:rFonts w:eastAsia="Arial Unicode MS"/>
              <w:szCs w:val="18"/>
            </w:rPr>
            <w:fldChar w:fldCharType="end"/>
          </w:r>
          <w:r w:rsidRPr="0082622B">
            <w:rPr>
              <w:rStyle w:val="ATAFooterChar"/>
              <w:szCs w:val="18"/>
              <w:rtl w:val="0"/>
            </w:rPr>
            <w:t xml:space="preserve"> of</w:t>
          </w:r>
          <w:r w:rsidR="0082622B">
            <w:rPr>
              <w:rStyle w:val="ATAFooterChar"/>
              <w:szCs w:val="18"/>
              <w:rtl w:val="0"/>
            </w:rPr>
            <w:t xml:space="preserve"> </w:t>
          </w:r>
          <w:r w:rsidRPr="0082622B">
            <w:rPr>
              <w:rStyle w:val="ATAFooterChar"/>
              <w:szCs w:val="18"/>
            </w:rPr>
            <w:t xml:space="preserve"> </w:t>
          </w:r>
          <w:r w:rsidRPr="0082622B">
            <w:rPr>
              <w:rStyle w:val="ATAFooterChar"/>
              <w:rFonts w:eastAsia="Arial Unicode MS"/>
              <w:szCs w:val="18"/>
            </w:rPr>
            <w:fldChar w:fldCharType="begin"/>
          </w:r>
          <w:r w:rsidRPr="0082622B">
            <w:rPr>
              <w:rStyle w:val="ATAFooterChar"/>
              <w:rFonts w:eastAsia="Arial Unicode MS"/>
              <w:szCs w:val="18"/>
            </w:rPr>
            <w:instrText xml:space="preserve"> NUMPAGES  \# "0"  \* MERGEFORMAT </w:instrText>
          </w:r>
          <w:r w:rsidRPr="0082622B">
            <w:rPr>
              <w:rStyle w:val="ATAFooterChar"/>
              <w:rFonts w:eastAsia="Arial Unicode MS"/>
              <w:szCs w:val="18"/>
            </w:rPr>
            <w:fldChar w:fldCharType="separate"/>
          </w:r>
          <w:r w:rsidR="00543AB6">
            <w:rPr>
              <w:rStyle w:val="ATAFooterChar"/>
              <w:rFonts w:eastAsia="Arial Unicode MS"/>
              <w:noProof/>
              <w:szCs w:val="18"/>
            </w:rPr>
            <w:t>6</w:t>
          </w:r>
          <w:r w:rsidRPr="0082622B">
            <w:rPr>
              <w:rStyle w:val="ATAFooterChar"/>
              <w:rFonts w:eastAsia="Arial Unicode MS"/>
              <w:szCs w:val="18"/>
            </w:rPr>
            <w:fldChar w:fldCharType="end"/>
          </w:r>
        </w:p>
      </w:tc>
    </w:tr>
  </w:tbl>
  <w:p w14:paraId="067B698F" w14:textId="77777777" w:rsidR="008564F0" w:rsidRPr="00E9494F" w:rsidRDefault="008564F0" w:rsidP="0082622B">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BF415" w14:textId="77777777" w:rsidR="00823341" w:rsidRDefault="00823341" w:rsidP="00C82114">
      <w:r>
        <w:separator/>
      </w:r>
    </w:p>
  </w:footnote>
  <w:footnote w:type="continuationSeparator" w:id="0">
    <w:p w14:paraId="5D316381" w14:textId="77777777" w:rsidR="00823341" w:rsidRDefault="00823341"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6"/>
      <w:gridCol w:w="4314"/>
    </w:tblGrid>
    <w:tr w:rsidR="00B962A0" w:rsidRPr="00456B51" w14:paraId="067B698A" w14:textId="77777777" w:rsidTr="0082622B">
      <w:tc>
        <w:tcPr>
          <w:tcW w:w="4788" w:type="dxa"/>
          <w:shd w:val="clear" w:color="auto" w:fill="auto"/>
          <w:vAlign w:val="bottom"/>
        </w:tcPr>
        <w:p w14:paraId="067B6988" w14:textId="3792DC91" w:rsidR="008564F0" w:rsidRPr="00456B51" w:rsidRDefault="00F16234" w:rsidP="0082622B">
          <w:pPr>
            <w:pStyle w:val="ATAHeader"/>
            <w:bidi w:val="0"/>
          </w:pPr>
          <w:r>
            <w:rPr>
              <w:rtl w:val="0"/>
            </w:rPr>
            <w:t>Module 11: Policies and Procedures</w:t>
          </w:r>
        </w:p>
      </w:tc>
      <w:tc>
        <w:tcPr>
          <w:tcW w:w="4788" w:type="dxa"/>
          <w:shd w:val="clear" w:color="auto" w:fill="auto"/>
          <w:vAlign w:val="bottom"/>
        </w:tcPr>
        <w:p w14:paraId="067B6989" w14:textId="44CA6DE6" w:rsidR="008564F0" w:rsidRPr="00456B51" w:rsidRDefault="00543AB6" w:rsidP="0082622B">
          <w:pPr>
            <w:pStyle w:val="ATAHeader"/>
            <w:bidi w:val="0"/>
            <w:jc w:val="right"/>
          </w:pPr>
          <w:r>
            <w:rPr>
              <w:rtl w:val="0"/>
            </w:rPr>
            <w:t>Workbook</w:t>
          </w:r>
          <w:r w:rsidR="00C644D9">
            <w:rPr>
              <w:rtl w:val="0"/>
            </w:rPr>
            <w:t xml:space="preserve"> 11.2: Perimeter Barrier Standards</w:t>
          </w:r>
        </w:p>
      </w:tc>
    </w:tr>
  </w:tbl>
  <w:p w14:paraId="067B698B"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8"/>
  </w:num>
  <w:num w:numId="4">
    <w:abstractNumId w:val="10"/>
  </w:num>
  <w:num w:numId="5">
    <w:abstractNumId w:val="7"/>
  </w:num>
  <w:num w:numId="6">
    <w:abstractNumId w:val="12"/>
  </w:num>
  <w:num w:numId="7">
    <w:abstractNumId w:val="11"/>
  </w:num>
  <w:num w:numId="8">
    <w:abstractNumId w:val="8"/>
  </w:num>
  <w:num w:numId="9">
    <w:abstractNumId w:val="0"/>
  </w:num>
  <w:num w:numId="10">
    <w:abstractNumId w:val="17"/>
  </w:num>
  <w:num w:numId="11">
    <w:abstractNumId w:val="18"/>
  </w:num>
  <w:num w:numId="12">
    <w:abstractNumId w:val="18"/>
  </w:num>
  <w:num w:numId="13">
    <w:abstractNumId w:val="13"/>
  </w:num>
  <w:num w:numId="14">
    <w:abstractNumId w:val="26"/>
  </w:num>
  <w:num w:numId="15">
    <w:abstractNumId w:val="14"/>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6"/>
  </w:num>
  <w:num w:numId="23">
    <w:abstractNumId w:val="19"/>
  </w:num>
  <w:num w:numId="24">
    <w:abstractNumId w:val="15"/>
  </w:num>
  <w:num w:numId="25">
    <w:abstractNumId w:val="24"/>
  </w:num>
  <w:num w:numId="26">
    <w:abstractNumId w:val="28"/>
  </w:num>
  <w:num w:numId="27">
    <w:abstractNumId w:val="3"/>
  </w:num>
  <w:num w:numId="28">
    <w:abstractNumId w:val="21"/>
  </w:num>
  <w:num w:numId="29">
    <w:abstractNumId w:val="20"/>
  </w:num>
  <w:num w:numId="30">
    <w:abstractNumId w:val="20"/>
    <w:lvlOverride w:ilvl="0">
      <w:startOverride w:val="1"/>
    </w:lvlOverride>
  </w:num>
  <w:num w:numId="31">
    <w:abstractNumId w:val="20"/>
  </w:num>
  <w:num w:numId="32">
    <w:abstractNumId w:val="2"/>
  </w:num>
  <w:num w:numId="33">
    <w:abstractNumId w:val="23"/>
  </w:num>
  <w:num w:numId="34">
    <w:abstractNumId w:val="5"/>
  </w:num>
  <w:num w:numId="35">
    <w:abstractNumId w:val="25"/>
  </w:num>
  <w:num w:numId="36">
    <w:abstractNumId w:val="22"/>
  </w:num>
  <w:num w:numId="37">
    <w:abstractNumId w:val="4"/>
  </w:num>
  <w:num w:numId="38">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80D"/>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472D"/>
    <w:rsid w:val="00124ABF"/>
    <w:rsid w:val="00124F0D"/>
    <w:rsid w:val="001259FD"/>
    <w:rsid w:val="00131390"/>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03A"/>
    <w:rsid w:val="001577BB"/>
    <w:rsid w:val="00157B1E"/>
    <w:rsid w:val="001601EF"/>
    <w:rsid w:val="00163B76"/>
    <w:rsid w:val="0016636E"/>
    <w:rsid w:val="00166677"/>
    <w:rsid w:val="0016746F"/>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E4B75"/>
    <w:rsid w:val="002F20B3"/>
    <w:rsid w:val="002F23B3"/>
    <w:rsid w:val="002F700A"/>
    <w:rsid w:val="003017B9"/>
    <w:rsid w:val="00302ACC"/>
    <w:rsid w:val="00303B04"/>
    <w:rsid w:val="00311AB8"/>
    <w:rsid w:val="00312331"/>
    <w:rsid w:val="0031631B"/>
    <w:rsid w:val="00323C87"/>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0A0B"/>
    <w:rsid w:val="003C1E33"/>
    <w:rsid w:val="003C225C"/>
    <w:rsid w:val="003C2412"/>
    <w:rsid w:val="003C330A"/>
    <w:rsid w:val="003C4674"/>
    <w:rsid w:val="003C47A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5EB4"/>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08FD"/>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3AB6"/>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859B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1125"/>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62BBB"/>
    <w:rsid w:val="0077146C"/>
    <w:rsid w:val="00775D9C"/>
    <w:rsid w:val="00776B60"/>
    <w:rsid w:val="00777CBB"/>
    <w:rsid w:val="0078089D"/>
    <w:rsid w:val="007813A9"/>
    <w:rsid w:val="00782330"/>
    <w:rsid w:val="00784314"/>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341"/>
    <w:rsid w:val="008236BD"/>
    <w:rsid w:val="0082379C"/>
    <w:rsid w:val="0082462C"/>
    <w:rsid w:val="0082622B"/>
    <w:rsid w:val="0082666F"/>
    <w:rsid w:val="00832BC2"/>
    <w:rsid w:val="00832C31"/>
    <w:rsid w:val="008348D9"/>
    <w:rsid w:val="0083495F"/>
    <w:rsid w:val="008374B6"/>
    <w:rsid w:val="00837B72"/>
    <w:rsid w:val="008403A3"/>
    <w:rsid w:val="0084249C"/>
    <w:rsid w:val="00843DA7"/>
    <w:rsid w:val="00847615"/>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0F95"/>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67E9F"/>
    <w:rsid w:val="00971E34"/>
    <w:rsid w:val="00972493"/>
    <w:rsid w:val="00973986"/>
    <w:rsid w:val="00974569"/>
    <w:rsid w:val="009770C9"/>
    <w:rsid w:val="009907CB"/>
    <w:rsid w:val="00991856"/>
    <w:rsid w:val="00992AA2"/>
    <w:rsid w:val="009932E7"/>
    <w:rsid w:val="00993830"/>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3703"/>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0CB"/>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220"/>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002"/>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14B5"/>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B2F7E"/>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11B"/>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3993"/>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6A1"/>
    <w:rsid w:val="00E86AFC"/>
    <w:rsid w:val="00E91B8D"/>
    <w:rsid w:val="00E92F62"/>
    <w:rsid w:val="00E9494F"/>
    <w:rsid w:val="00E95577"/>
    <w:rsid w:val="00E97B11"/>
    <w:rsid w:val="00EA11DD"/>
    <w:rsid w:val="00EA23C6"/>
    <w:rsid w:val="00EA37FC"/>
    <w:rsid w:val="00EA46EC"/>
    <w:rsid w:val="00EA502D"/>
    <w:rsid w:val="00EA7337"/>
    <w:rsid w:val="00EA76DA"/>
    <w:rsid w:val="00EB0AE0"/>
    <w:rsid w:val="00EB117C"/>
    <w:rsid w:val="00EB1D73"/>
    <w:rsid w:val="00EB3FCD"/>
    <w:rsid w:val="00EB4E03"/>
    <w:rsid w:val="00EB59FF"/>
    <w:rsid w:val="00EB5C7C"/>
    <w:rsid w:val="00EB61E5"/>
    <w:rsid w:val="00EB68EC"/>
    <w:rsid w:val="00EB7194"/>
    <w:rsid w:val="00EC00F9"/>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1B4E"/>
    <w:rsid w:val="00F3355E"/>
    <w:rsid w:val="00F33B9A"/>
    <w:rsid w:val="00F33E28"/>
    <w:rsid w:val="00F36873"/>
    <w:rsid w:val="00F3729D"/>
    <w:rsid w:val="00F40400"/>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6FC6"/>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67B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495EB4"/>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495EB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6859BB"/>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6859BB"/>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A960CB"/>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A960C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Body">
    <w:name w:val="ATA Table Body"/>
    <w:link w:val="ATATableBodyChar"/>
    <w:uiPriority w:val="34"/>
    <w:rsid w:val="00495EB4"/>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495EB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495EB4"/>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495EB4"/>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1390"/>
    <w:rPr>
      <w:sz w:val="16"/>
      <w:szCs w:val="16"/>
    </w:rPr>
  </w:style>
  <w:style w:type="paragraph" w:customStyle="1" w:styleId="ATATopicTime">
    <w:name w:val="ATA Topic Time"/>
    <w:link w:val="ATATopicTimeChar"/>
    <w:uiPriority w:val="34"/>
    <w:qFormat/>
    <w:rsid w:val="003C0A0B"/>
    <w:pPr>
      <w:bidi/>
      <w:ind w:left="72"/>
      <w:jc w:val="center"/>
    </w:pPr>
    <w:rPr>
      <w:rFonts w:ascii="Cambria" w:eastAsia="MS PGothic" w:hAnsi="Cambria"/>
      <w:b/>
      <w:bCs/>
      <w:color w:val="262626" w:themeColor="text1" w:themeTint="D9"/>
      <w:szCs w:val="24"/>
      <w:rtl/>
    </w:rPr>
  </w:style>
  <w:style w:type="paragraph" w:customStyle="1" w:styleId="ATABulletLevel03BodySlide">
    <w:name w:val="ATA  Bullet Level 03 Body/Slide"/>
    <w:basedOn w:val="ATABulletLevel01BodySlide"/>
    <w:link w:val="ATABulletLevel03BodySlideChar"/>
    <w:uiPriority w:val="7"/>
    <w:qFormat/>
    <w:rsid w:val="003C0A0B"/>
    <w:pPr>
      <w:numPr>
        <w:numId w:val="3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3C0A0B"/>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3C0A0B"/>
    <w:pPr>
      <w:numPr>
        <w:numId w:val="37"/>
      </w:numPr>
      <w:ind w:left="720" w:hanging="288"/>
      <w:contextualSpacing/>
    </w:pPr>
    <w:rPr>
      <w:rFonts w:ascii="Cambria" w:hAnsi="Cambria"/>
      <w:color w:val="262626" w:themeColor="text1" w:themeTint="D9"/>
    </w:rPr>
  </w:style>
  <w:style w:type="character" w:customStyle="1" w:styleId="ATATopicTimeChar">
    <w:name w:val="ATA Topic Time Char"/>
    <w:basedOn w:val="DefaultParagraphFont"/>
    <w:link w:val="ATATopicTime"/>
    <w:uiPriority w:val="34"/>
    <w:rsid w:val="003C0A0B"/>
    <w:rPr>
      <w:rFonts w:ascii="Cambria" w:eastAsia="MS PGothic" w:hAnsi="Cambria"/>
      <w:b/>
      <w:bCs/>
      <w:color w:val="262626" w:themeColor="text1" w:themeTint="D9"/>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495EB4"/>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495EB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6859BB"/>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6859BB"/>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A960CB"/>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A960C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Body">
    <w:name w:val="ATA Table Body"/>
    <w:link w:val="ATATableBodyChar"/>
    <w:uiPriority w:val="34"/>
    <w:rsid w:val="00495EB4"/>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495EB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495EB4"/>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495EB4"/>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1390"/>
    <w:rPr>
      <w:sz w:val="16"/>
      <w:szCs w:val="16"/>
    </w:rPr>
  </w:style>
  <w:style w:type="paragraph" w:customStyle="1" w:styleId="ATATopicTime">
    <w:name w:val="ATA Topic Time"/>
    <w:link w:val="ATATopicTimeChar"/>
    <w:uiPriority w:val="34"/>
    <w:qFormat/>
    <w:rsid w:val="003C0A0B"/>
    <w:pPr>
      <w:bidi/>
      <w:ind w:left="72"/>
      <w:jc w:val="center"/>
    </w:pPr>
    <w:rPr>
      <w:rFonts w:ascii="Cambria" w:eastAsia="MS PGothic" w:hAnsi="Cambria"/>
      <w:b/>
      <w:bCs/>
      <w:color w:val="262626" w:themeColor="text1" w:themeTint="D9"/>
      <w:szCs w:val="24"/>
      <w:rtl/>
    </w:rPr>
  </w:style>
  <w:style w:type="paragraph" w:customStyle="1" w:styleId="ATABulletLevel03BodySlide">
    <w:name w:val="ATA  Bullet Level 03 Body/Slide"/>
    <w:basedOn w:val="ATABulletLevel01BodySlide"/>
    <w:link w:val="ATABulletLevel03BodySlideChar"/>
    <w:uiPriority w:val="7"/>
    <w:qFormat/>
    <w:rsid w:val="003C0A0B"/>
    <w:pPr>
      <w:numPr>
        <w:numId w:val="3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3C0A0B"/>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3C0A0B"/>
    <w:pPr>
      <w:numPr>
        <w:numId w:val="37"/>
      </w:numPr>
      <w:ind w:left="720" w:hanging="288"/>
      <w:contextualSpacing/>
    </w:pPr>
    <w:rPr>
      <w:rFonts w:ascii="Cambria" w:hAnsi="Cambria"/>
      <w:color w:val="262626" w:themeColor="text1" w:themeTint="D9"/>
    </w:rPr>
  </w:style>
  <w:style w:type="character" w:customStyle="1" w:styleId="ATATopicTimeChar">
    <w:name w:val="ATA Topic Time Char"/>
    <w:basedOn w:val="DefaultParagraphFont"/>
    <w:link w:val="ATATopicTime"/>
    <w:uiPriority w:val="34"/>
    <w:rsid w:val="003C0A0B"/>
    <w:rPr>
      <w:rFonts w:ascii="Cambria" w:eastAsia="MS PGothic" w:hAnsi="Cambria"/>
      <w:b/>
      <w:bCs/>
      <w:color w:val="262626" w:themeColor="text1" w:themeTint="D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D9A691-A03C-4D07-AACA-D5789C563E0B}" type="doc">
      <dgm:prSet loTypeId="urn:microsoft.com/office/officeart/2005/8/layout/vList5" loCatId="list" qsTypeId="urn:microsoft.com/office/officeart/2005/8/quickstyle/3d2" qsCatId="3D" csTypeId="urn:microsoft.com/office/officeart/2005/8/colors/accent3_2" csCatId="accent3" phldr="1"/>
      <dgm:spPr/>
      <dgm:t>
        <a:bodyPr/>
        <a:lstStyle/>
        <a:p>
          <a:endParaRPr lang="en-US"/>
        </a:p>
      </dgm:t>
    </dgm:pt>
    <dgm:pt modelId="{CAC551DC-2952-447F-B413-441186313900}">
      <dgm:prSet phldrT="[Text]"/>
      <dgm:spPr/>
      <dgm:t>
        <a:bodyPr/>
        <a:lstStyle/>
        <a:p>
          <a:r>
            <a:rPr lang="ar-EG" b="1"/>
            <a:t>الكشف</a:t>
          </a:r>
          <a:endParaRPr lang="en-US" b="1" dirty="0"/>
        </a:p>
      </dgm:t>
    </dgm:pt>
    <dgm:pt modelId="{DD9F3AB9-DEFE-4735-980F-9CC33A50FDC1}" type="parTrans" cxnId="{72E35663-F5A0-4BC8-AEBE-2DEBCA9E7E47}">
      <dgm:prSet/>
      <dgm:spPr/>
      <dgm:t>
        <a:bodyPr/>
        <a:lstStyle/>
        <a:p>
          <a:endParaRPr lang="en-US"/>
        </a:p>
      </dgm:t>
    </dgm:pt>
    <dgm:pt modelId="{0664A13F-01CD-44E1-96C3-43558439FA9A}" type="sibTrans" cxnId="{72E35663-F5A0-4BC8-AEBE-2DEBCA9E7E47}">
      <dgm:prSet/>
      <dgm:spPr/>
      <dgm:t>
        <a:bodyPr/>
        <a:lstStyle/>
        <a:p>
          <a:endParaRPr lang="en-US"/>
        </a:p>
      </dgm:t>
    </dgm:pt>
    <dgm:pt modelId="{953A2C86-2A9A-45E0-8A44-58BECCBD4BCB}">
      <dgm:prSet phldrT="[Text]"/>
      <dgm:spPr/>
      <dgm:t>
        <a:bodyPr/>
        <a:lstStyle/>
        <a:p>
          <a:pPr rtl="1"/>
          <a:r>
            <a:rPr lang="ar-EG"/>
            <a:t>يجب ألا يحتل الشكل المصور مساحة أقل من 10% من حجم الشاشة </a:t>
          </a:r>
          <a:endParaRPr lang="en-US" dirty="0"/>
        </a:p>
      </dgm:t>
    </dgm:pt>
    <dgm:pt modelId="{8B98C8D3-DD50-493A-83C0-2A4D70A22B3C}" type="parTrans" cxnId="{1888C6A9-D4CD-450E-84A3-4693D8570DBD}">
      <dgm:prSet/>
      <dgm:spPr/>
      <dgm:t>
        <a:bodyPr/>
        <a:lstStyle/>
        <a:p>
          <a:endParaRPr lang="en-US"/>
        </a:p>
      </dgm:t>
    </dgm:pt>
    <dgm:pt modelId="{E9E27D98-1692-402F-BD77-C77BFD15BEAF}" type="sibTrans" cxnId="{1888C6A9-D4CD-450E-84A3-4693D8570DBD}">
      <dgm:prSet/>
      <dgm:spPr/>
      <dgm:t>
        <a:bodyPr/>
        <a:lstStyle/>
        <a:p>
          <a:endParaRPr lang="en-US"/>
        </a:p>
      </dgm:t>
    </dgm:pt>
    <dgm:pt modelId="{CF100ABE-BAEE-425D-B209-355FC15C24AA}">
      <dgm:prSet phldrT="[Text]"/>
      <dgm:spPr/>
      <dgm:t>
        <a:bodyPr/>
        <a:lstStyle/>
        <a:p>
          <a:r>
            <a:rPr lang="ar-EG" b="1"/>
            <a:t>الإدراك</a:t>
          </a:r>
          <a:endParaRPr lang="en-US" b="1" dirty="0"/>
        </a:p>
      </dgm:t>
    </dgm:pt>
    <dgm:pt modelId="{A06840EB-3145-44BA-8F4D-959D9DB17884}" type="parTrans" cxnId="{EE9F0A87-A8B8-4D2C-91B2-27E9DFAD5766}">
      <dgm:prSet/>
      <dgm:spPr/>
      <dgm:t>
        <a:bodyPr/>
        <a:lstStyle/>
        <a:p>
          <a:endParaRPr lang="en-US"/>
        </a:p>
      </dgm:t>
    </dgm:pt>
    <dgm:pt modelId="{18AF24F5-46C2-49F1-8C10-25CB92F3D222}" type="sibTrans" cxnId="{EE9F0A87-A8B8-4D2C-91B2-27E9DFAD5766}">
      <dgm:prSet/>
      <dgm:spPr/>
      <dgm:t>
        <a:bodyPr/>
        <a:lstStyle/>
        <a:p>
          <a:endParaRPr lang="en-US"/>
        </a:p>
      </dgm:t>
    </dgm:pt>
    <dgm:pt modelId="{B833E732-B445-468A-B137-465C03C3C2B1}">
      <dgm:prSet phldrT="[Text]"/>
      <dgm:spPr/>
      <dgm:t>
        <a:bodyPr/>
        <a:lstStyle/>
        <a:p>
          <a:pPr rtl="1"/>
          <a:r>
            <a:rPr lang="ar-EG"/>
            <a:t>يجب ألا يحتل الشكل المصور مساحة أقل من 50% من حجم الشاشة </a:t>
          </a:r>
          <a:endParaRPr lang="en-US" dirty="0"/>
        </a:p>
      </dgm:t>
    </dgm:pt>
    <dgm:pt modelId="{D73DDE3C-5036-4FEC-B450-9A39C15FECC4}" type="parTrans" cxnId="{F8D791EE-732B-4660-9CA9-04CED2F78D8D}">
      <dgm:prSet/>
      <dgm:spPr/>
      <dgm:t>
        <a:bodyPr/>
        <a:lstStyle/>
        <a:p>
          <a:endParaRPr lang="en-US"/>
        </a:p>
      </dgm:t>
    </dgm:pt>
    <dgm:pt modelId="{DB2A5AEC-3303-43AB-AFB8-90754EB44F4F}" type="sibTrans" cxnId="{F8D791EE-732B-4660-9CA9-04CED2F78D8D}">
      <dgm:prSet/>
      <dgm:spPr/>
      <dgm:t>
        <a:bodyPr/>
        <a:lstStyle/>
        <a:p>
          <a:endParaRPr lang="en-US"/>
        </a:p>
      </dgm:t>
    </dgm:pt>
    <dgm:pt modelId="{4EE2F4D2-47AB-40F6-83BD-85F37D7CC745}">
      <dgm:prSet phldrT="[Text]"/>
      <dgm:spPr/>
      <dgm:t>
        <a:bodyPr/>
        <a:lstStyle/>
        <a:p>
          <a:r>
            <a:rPr lang="ar-EG" b="1"/>
            <a:t>تحديد الهوية</a:t>
          </a:r>
          <a:endParaRPr lang="en-US" b="1" dirty="0"/>
        </a:p>
      </dgm:t>
    </dgm:pt>
    <dgm:pt modelId="{CDCB4EA1-CC83-4DD4-8821-06CA6E4517E1}" type="parTrans" cxnId="{F69135EF-11B8-4A5E-8B0C-929E83AE3C2F}">
      <dgm:prSet/>
      <dgm:spPr/>
      <dgm:t>
        <a:bodyPr/>
        <a:lstStyle/>
        <a:p>
          <a:endParaRPr lang="en-US"/>
        </a:p>
      </dgm:t>
    </dgm:pt>
    <dgm:pt modelId="{D46966CD-3540-40FD-A45D-44E43ABE2E36}" type="sibTrans" cxnId="{F69135EF-11B8-4A5E-8B0C-929E83AE3C2F}">
      <dgm:prSet/>
      <dgm:spPr/>
      <dgm:t>
        <a:bodyPr/>
        <a:lstStyle/>
        <a:p>
          <a:endParaRPr lang="en-US"/>
        </a:p>
      </dgm:t>
    </dgm:pt>
    <dgm:pt modelId="{79A1F826-7CF1-4EFE-BFF8-AA2D702AF94E}">
      <dgm:prSet phldrT="[Text]"/>
      <dgm:spPr/>
      <dgm:t>
        <a:bodyPr/>
        <a:lstStyle/>
        <a:p>
          <a:pPr rtl="1"/>
          <a:r>
            <a:rPr lang="ar-EG"/>
            <a:t>يجب ألا يحتل الشكل المصور مساحة أقل من 120% من حجم الشاشة</a:t>
          </a:r>
          <a:endParaRPr lang="en-US" dirty="0"/>
        </a:p>
      </dgm:t>
    </dgm:pt>
    <dgm:pt modelId="{53982289-F88D-47A7-A5C3-3070F77454CA}" type="parTrans" cxnId="{1F45A5D2-D505-4083-AFDA-1E76017C4D2C}">
      <dgm:prSet/>
      <dgm:spPr/>
      <dgm:t>
        <a:bodyPr/>
        <a:lstStyle/>
        <a:p>
          <a:endParaRPr lang="en-US"/>
        </a:p>
      </dgm:t>
    </dgm:pt>
    <dgm:pt modelId="{D3F614FB-727B-45E7-BECB-A1B672CC8A8E}" type="sibTrans" cxnId="{1F45A5D2-D505-4083-AFDA-1E76017C4D2C}">
      <dgm:prSet/>
      <dgm:spPr/>
      <dgm:t>
        <a:bodyPr/>
        <a:lstStyle/>
        <a:p>
          <a:endParaRPr lang="en-US"/>
        </a:p>
      </dgm:t>
    </dgm:pt>
    <dgm:pt modelId="{5DF55AE3-C5AD-4B1F-BA97-52FDA36C6039}" type="pres">
      <dgm:prSet presAssocID="{D1D9A691-A03C-4D07-AACA-D5789C563E0B}" presName="Name0" presStyleCnt="0">
        <dgm:presLayoutVars>
          <dgm:dir/>
          <dgm:animLvl val="lvl"/>
          <dgm:resizeHandles val="exact"/>
        </dgm:presLayoutVars>
      </dgm:prSet>
      <dgm:spPr/>
      <dgm:t>
        <a:bodyPr/>
        <a:lstStyle/>
        <a:p>
          <a:endParaRPr lang="en-US"/>
        </a:p>
      </dgm:t>
    </dgm:pt>
    <dgm:pt modelId="{6357F2C4-D190-4A26-848F-200840C7B715}" type="pres">
      <dgm:prSet presAssocID="{CAC551DC-2952-447F-B413-441186313900}" presName="linNode" presStyleCnt="0"/>
      <dgm:spPr/>
    </dgm:pt>
    <dgm:pt modelId="{94DDA2A8-C09C-4C7F-928D-00B110A17B71}" type="pres">
      <dgm:prSet presAssocID="{CAC551DC-2952-447F-B413-441186313900}" presName="parentText" presStyleLbl="node1" presStyleIdx="0" presStyleCnt="3">
        <dgm:presLayoutVars>
          <dgm:chMax val="1"/>
          <dgm:bulletEnabled val="1"/>
        </dgm:presLayoutVars>
      </dgm:prSet>
      <dgm:spPr/>
      <dgm:t>
        <a:bodyPr/>
        <a:lstStyle/>
        <a:p>
          <a:endParaRPr lang="en-US"/>
        </a:p>
      </dgm:t>
    </dgm:pt>
    <dgm:pt modelId="{CC56B94E-AA0C-449D-B26B-F1977E4D233C}" type="pres">
      <dgm:prSet presAssocID="{CAC551DC-2952-447F-B413-441186313900}" presName="descendantText" presStyleLbl="alignAccFollowNode1" presStyleIdx="0" presStyleCnt="3">
        <dgm:presLayoutVars>
          <dgm:bulletEnabled val="1"/>
        </dgm:presLayoutVars>
      </dgm:prSet>
      <dgm:spPr/>
      <dgm:t>
        <a:bodyPr/>
        <a:lstStyle/>
        <a:p>
          <a:endParaRPr lang="en-US"/>
        </a:p>
      </dgm:t>
    </dgm:pt>
    <dgm:pt modelId="{F9A3CBAD-35E2-4EE7-83C6-1E9B9E15463F}" type="pres">
      <dgm:prSet presAssocID="{0664A13F-01CD-44E1-96C3-43558439FA9A}" presName="sp" presStyleCnt="0"/>
      <dgm:spPr/>
    </dgm:pt>
    <dgm:pt modelId="{A50406CE-8687-424E-B9CB-9DDF5251AA65}" type="pres">
      <dgm:prSet presAssocID="{CF100ABE-BAEE-425D-B209-355FC15C24AA}" presName="linNode" presStyleCnt="0"/>
      <dgm:spPr/>
    </dgm:pt>
    <dgm:pt modelId="{CE236BB0-3B98-49F0-A87F-FF1E488CDE4A}" type="pres">
      <dgm:prSet presAssocID="{CF100ABE-BAEE-425D-B209-355FC15C24AA}" presName="parentText" presStyleLbl="node1" presStyleIdx="1" presStyleCnt="3">
        <dgm:presLayoutVars>
          <dgm:chMax val="1"/>
          <dgm:bulletEnabled val="1"/>
        </dgm:presLayoutVars>
      </dgm:prSet>
      <dgm:spPr/>
      <dgm:t>
        <a:bodyPr/>
        <a:lstStyle/>
        <a:p>
          <a:endParaRPr lang="en-US"/>
        </a:p>
      </dgm:t>
    </dgm:pt>
    <dgm:pt modelId="{77BCDDED-F1C9-4697-9F64-66694408D6D1}" type="pres">
      <dgm:prSet presAssocID="{CF100ABE-BAEE-425D-B209-355FC15C24AA}" presName="descendantText" presStyleLbl="alignAccFollowNode1" presStyleIdx="1" presStyleCnt="3">
        <dgm:presLayoutVars>
          <dgm:bulletEnabled val="1"/>
        </dgm:presLayoutVars>
      </dgm:prSet>
      <dgm:spPr/>
      <dgm:t>
        <a:bodyPr/>
        <a:lstStyle/>
        <a:p>
          <a:endParaRPr lang="en-US"/>
        </a:p>
      </dgm:t>
    </dgm:pt>
    <dgm:pt modelId="{1B712866-4925-4AA2-95A3-CB582A3B0FB0}" type="pres">
      <dgm:prSet presAssocID="{18AF24F5-46C2-49F1-8C10-25CB92F3D222}" presName="sp" presStyleCnt="0"/>
      <dgm:spPr/>
    </dgm:pt>
    <dgm:pt modelId="{622A135B-6E2D-48B5-BC2C-C4DA1E71487A}" type="pres">
      <dgm:prSet presAssocID="{4EE2F4D2-47AB-40F6-83BD-85F37D7CC745}" presName="linNode" presStyleCnt="0"/>
      <dgm:spPr/>
    </dgm:pt>
    <dgm:pt modelId="{F5CA3C92-C9FD-45A7-ACFB-794E5A7963A7}" type="pres">
      <dgm:prSet presAssocID="{4EE2F4D2-47AB-40F6-83BD-85F37D7CC745}" presName="parentText" presStyleLbl="node1" presStyleIdx="2" presStyleCnt="3">
        <dgm:presLayoutVars>
          <dgm:chMax val="1"/>
          <dgm:bulletEnabled val="1"/>
        </dgm:presLayoutVars>
      </dgm:prSet>
      <dgm:spPr/>
      <dgm:t>
        <a:bodyPr/>
        <a:lstStyle/>
        <a:p>
          <a:endParaRPr lang="en-US"/>
        </a:p>
      </dgm:t>
    </dgm:pt>
    <dgm:pt modelId="{24A71026-971E-44B2-B916-831F8392BDC5}" type="pres">
      <dgm:prSet presAssocID="{4EE2F4D2-47AB-40F6-83BD-85F37D7CC745}" presName="descendantText" presStyleLbl="alignAccFollowNode1" presStyleIdx="2" presStyleCnt="3">
        <dgm:presLayoutVars>
          <dgm:bulletEnabled val="1"/>
        </dgm:presLayoutVars>
      </dgm:prSet>
      <dgm:spPr/>
      <dgm:t>
        <a:bodyPr/>
        <a:lstStyle/>
        <a:p>
          <a:endParaRPr lang="en-US"/>
        </a:p>
      </dgm:t>
    </dgm:pt>
  </dgm:ptLst>
  <dgm:cxnLst>
    <dgm:cxn modelId="{A3787777-C28D-4F74-A9C6-071970F4288F}" type="presOf" srcId="{CAC551DC-2952-447F-B413-441186313900}" destId="{94DDA2A8-C09C-4C7F-928D-00B110A17B71}" srcOrd="0" destOrd="0" presId="urn:microsoft.com/office/officeart/2005/8/layout/vList5"/>
    <dgm:cxn modelId="{EE9F0A87-A8B8-4D2C-91B2-27E9DFAD5766}" srcId="{D1D9A691-A03C-4D07-AACA-D5789C563E0B}" destId="{CF100ABE-BAEE-425D-B209-355FC15C24AA}" srcOrd="1" destOrd="0" parTransId="{A06840EB-3145-44BA-8F4D-959D9DB17884}" sibTransId="{18AF24F5-46C2-49F1-8C10-25CB92F3D222}"/>
    <dgm:cxn modelId="{72E35663-F5A0-4BC8-AEBE-2DEBCA9E7E47}" srcId="{D1D9A691-A03C-4D07-AACA-D5789C563E0B}" destId="{CAC551DC-2952-447F-B413-441186313900}" srcOrd="0" destOrd="0" parTransId="{DD9F3AB9-DEFE-4735-980F-9CC33A50FDC1}" sibTransId="{0664A13F-01CD-44E1-96C3-43558439FA9A}"/>
    <dgm:cxn modelId="{75DFFA87-249B-4849-87C8-A394552D1DF1}" type="presOf" srcId="{4EE2F4D2-47AB-40F6-83BD-85F37D7CC745}" destId="{F5CA3C92-C9FD-45A7-ACFB-794E5A7963A7}" srcOrd="0" destOrd="0" presId="urn:microsoft.com/office/officeart/2005/8/layout/vList5"/>
    <dgm:cxn modelId="{2D8C9F3A-D594-469C-B0ED-BFEFA6329E6C}" type="presOf" srcId="{D1D9A691-A03C-4D07-AACA-D5789C563E0B}" destId="{5DF55AE3-C5AD-4B1F-BA97-52FDA36C6039}" srcOrd="0" destOrd="0" presId="urn:microsoft.com/office/officeart/2005/8/layout/vList5"/>
    <dgm:cxn modelId="{816A608A-B161-4B42-BE72-6D65C394F920}" type="presOf" srcId="{B833E732-B445-468A-B137-465C03C3C2B1}" destId="{77BCDDED-F1C9-4697-9F64-66694408D6D1}" srcOrd="0" destOrd="0" presId="urn:microsoft.com/office/officeart/2005/8/layout/vList5"/>
    <dgm:cxn modelId="{0C01F609-7367-4C3E-8DCA-DC57A2506C0D}" type="presOf" srcId="{953A2C86-2A9A-45E0-8A44-58BECCBD4BCB}" destId="{CC56B94E-AA0C-449D-B26B-F1977E4D233C}" srcOrd="0" destOrd="0" presId="urn:microsoft.com/office/officeart/2005/8/layout/vList5"/>
    <dgm:cxn modelId="{D199B620-00CA-4E35-A2BC-DF688DB85535}" type="presOf" srcId="{79A1F826-7CF1-4EFE-BFF8-AA2D702AF94E}" destId="{24A71026-971E-44B2-B916-831F8392BDC5}" srcOrd="0" destOrd="0" presId="urn:microsoft.com/office/officeart/2005/8/layout/vList5"/>
    <dgm:cxn modelId="{F8D791EE-732B-4660-9CA9-04CED2F78D8D}" srcId="{CF100ABE-BAEE-425D-B209-355FC15C24AA}" destId="{B833E732-B445-468A-B137-465C03C3C2B1}" srcOrd="0" destOrd="0" parTransId="{D73DDE3C-5036-4FEC-B450-9A39C15FECC4}" sibTransId="{DB2A5AEC-3303-43AB-AFB8-90754EB44F4F}"/>
    <dgm:cxn modelId="{96C79404-7703-4913-9453-B7FB2A8F996D}" type="presOf" srcId="{CF100ABE-BAEE-425D-B209-355FC15C24AA}" destId="{CE236BB0-3B98-49F0-A87F-FF1E488CDE4A}" srcOrd="0" destOrd="0" presId="urn:microsoft.com/office/officeart/2005/8/layout/vList5"/>
    <dgm:cxn modelId="{F69135EF-11B8-4A5E-8B0C-929E83AE3C2F}" srcId="{D1D9A691-A03C-4D07-AACA-D5789C563E0B}" destId="{4EE2F4D2-47AB-40F6-83BD-85F37D7CC745}" srcOrd="2" destOrd="0" parTransId="{CDCB4EA1-CC83-4DD4-8821-06CA6E4517E1}" sibTransId="{D46966CD-3540-40FD-A45D-44E43ABE2E36}"/>
    <dgm:cxn modelId="{1F45A5D2-D505-4083-AFDA-1E76017C4D2C}" srcId="{4EE2F4D2-47AB-40F6-83BD-85F37D7CC745}" destId="{79A1F826-7CF1-4EFE-BFF8-AA2D702AF94E}" srcOrd="0" destOrd="0" parTransId="{53982289-F88D-47A7-A5C3-3070F77454CA}" sibTransId="{D3F614FB-727B-45E7-BECB-A1B672CC8A8E}"/>
    <dgm:cxn modelId="{1888C6A9-D4CD-450E-84A3-4693D8570DBD}" srcId="{CAC551DC-2952-447F-B413-441186313900}" destId="{953A2C86-2A9A-45E0-8A44-58BECCBD4BCB}" srcOrd="0" destOrd="0" parTransId="{8B98C8D3-DD50-493A-83C0-2A4D70A22B3C}" sibTransId="{E9E27D98-1692-402F-BD77-C77BFD15BEAF}"/>
    <dgm:cxn modelId="{29014857-4000-4681-9CDD-E751A6864874}" type="presParOf" srcId="{5DF55AE3-C5AD-4B1F-BA97-52FDA36C6039}" destId="{6357F2C4-D190-4A26-848F-200840C7B715}" srcOrd="0" destOrd="0" presId="urn:microsoft.com/office/officeart/2005/8/layout/vList5"/>
    <dgm:cxn modelId="{239BF8E5-A133-4005-8A46-DAF39CE6A581}" type="presParOf" srcId="{6357F2C4-D190-4A26-848F-200840C7B715}" destId="{94DDA2A8-C09C-4C7F-928D-00B110A17B71}" srcOrd="0" destOrd="0" presId="urn:microsoft.com/office/officeart/2005/8/layout/vList5"/>
    <dgm:cxn modelId="{E789E52C-20FE-4873-A8B0-13D3EAF688FC}" type="presParOf" srcId="{6357F2C4-D190-4A26-848F-200840C7B715}" destId="{CC56B94E-AA0C-449D-B26B-F1977E4D233C}" srcOrd="1" destOrd="0" presId="urn:microsoft.com/office/officeart/2005/8/layout/vList5"/>
    <dgm:cxn modelId="{6F985CFD-CEF9-4BF2-A036-661667B0A318}" type="presParOf" srcId="{5DF55AE3-C5AD-4B1F-BA97-52FDA36C6039}" destId="{F9A3CBAD-35E2-4EE7-83C6-1E9B9E15463F}" srcOrd="1" destOrd="0" presId="urn:microsoft.com/office/officeart/2005/8/layout/vList5"/>
    <dgm:cxn modelId="{CDF1A10B-D51A-4441-9B59-76C762521657}" type="presParOf" srcId="{5DF55AE3-C5AD-4B1F-BA97-52FDA36C6039}" destId="{A50406CE-8687-424E-B9CB-9DDF5251AA65}" srcOrd="2" destOrd="0" presId="urn:microsoft.com/office/officeart/2005/8/layout/vList5"/>
    <dgm:cxn modelId="{7415C8B5-0A41-438C-B61A-B56BD5CDFC98}" type="presParOf" srcId="{A50406CE-8687-424E-B9CB-9DDF5251AA65}" destId="{CE236BB0-3B98-49F0-A87F-FF1E488CDE4A}" srcOrd="0" destOrd="0" presId="urn:microsoft.com/office/officeart/2005/8/layout/vList5"/>
    <dgm:cxn modelId="{0D36A12B-E32A-47C2-9AED-C79F336313A7}" type="presParOf" srcId="{A50406CE-8687-424E-B9CB-9DDF5251AA65}" destId="{77BCDDED-F1C9-4697-9F64-66694408D6D1}" srcOrd="1" destOrd="0" presId="urn:microsoft.com/office/officeart/2005/8/layout/vList5"/>
    <dgm:cxn modelId="{64FDB27F-C8FC-4B3D-AC7C-0059719A41B0}" type="presParOf" srcId="{5DF55AE3-C5AD-4B1F-BA97-52FDA36C6039}" destId="{1B712866-4925-4AA2-95A3-CB582A3B0FB0}" srcOrd="3" destOrd="0" presId="urn:microsoft.com/office/officeart/2005/8/layout/vList5"/>
    <dgm:cxn modelId="{C220E604-0266-4333-971F-F9926AFFDB72}" type="presParOf" srcId="{5DF55AE3-C5AD-4B1F-BA97-52FDA36C6039}" destId="{622A135B-6E2D-48B5-BC2C-C4DA1E71487A}" srcOrd="4" destOrd="0" presId="urn:microsoft.com/office/officeart/2005/8/layout/vList5"/>
    <dgm:cxn modelId="{FE63AA18-3282-4E55-BDD8-2F6CF5DF82CF}" type="presParOf" srcId="{622A135B-6E2D-48B5-BC2C-C4DA1E71487A}" destId="{F5CA3C92-C9FD-45A7-ACFB-794E5A7963A7}" srcOrd="0" destOrd="0" presId="urn:microsoft.com/office/officeart/2005/8/layout/vList5"/>
    <dgm:cxn modelId="{871046F3-F2F6-49A3-AEA4-BB66A96639C8}" type="presParOf" srcId="{622A135B-6E2D-48B5-BC2C-C4DA1E71487A}" destId="{24A71026-971E-44B2-B916-831F8392BDC5}"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56B94E-AA0C-449D-B26B-F1977E4D233C}">
      <dsp:nvSpPr>
        <dsp:cNvPr id="0" name=""/>
        <dsp:cNvSpPr/>
      </dsp:nvSpPr>
      <dsp:spPr>
        <a:xfrm rot="5400000">
          <a:off x="3414538" y="-1359182"/>
          <a:ext cx="632427" cy="3511296"/>
        </a:xfrm>
        <a:prstGeom prst="round2Same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8580" tIns="34290" rIns="68580" bIns="34290" numCol="1" spcCol="1270" anchor="ctr" anchorCtr="0">
          <a:noAutofit/>
        </a:bodyPr>
        <a:lstStyle/>
        <a:p>
          <a:pPr marL="171450" lvl="1" indent="-171450" algn="r" defTabSz="800100" rtl="1">
            <a:lnSpc>
              <a:spcPct val="90000"/>
            </a:lnSpc>
            <a:spcBef>
              <a:spcPct val="0"/>
            </a:spcBef>
            <a:spcAft>
              <a:spcPct val="15000"/>
            </a:spcAft>
            <a:buChar char="••"/>
          </a:pPr>
          <a:r>
            <a:rPr lang="ar-EG" sz="1800" kern="1200"/>
            <a:t>يجب ألا يحتل الشكل المصور مساحة أقل من 10% من حجم الشاشة </a:t>
          </a:r>
          <a:endParaRPr lang="en-US" sz="1800" kern="1200" dirty="0"/>
        </a:p>
      </dsp:txBody>
      <dsp:txXfrm rot="-5400000">
        <a:off x="1975104" y="111125"/>
        <a:ext cx="3480423" cy="570681"/>
      </dsp:txXfrm>
    </dsp:sp>
    <dsp:sp modelId="{94DDA2A8-C09C-4C7F-928D-00B110A17B71}">
      <dsp:nvSpPr>
        <dsp:cNvPr id="0" name=""/>
        <dsp:cNvSpPr/>
      </dsp:nvSpPr>
      <dsp:spPr>
        <a:xfrm>
          <a:off x="0" y="1197"/>
          <a:ext cx="1975104" cy="790534"/>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1920" tIns="60960" rIns="121920" bIns="60960" numCol="1" spcCol="1270" anchor="ctr" anchorCtr="0">
          <a:noAutofit/>
        </a:bodyPr>
        <a:lstStyle/>
        <a:p>
          <a:pPr lvl="0" algn="ctr" defTabSz="1422400">
            <a:lnSpc>
              <a:spcPct val="90000"/>
            </a:lnSpc>
            <a:spcBef>
              <a:spcPct val="0"/>
            </a:spcBef>
            <a:spcAft>
              <a:spcPct val="35000"/>
            </a:spcAft>
          </a:pPr>
          <a:r>
            <a:rPr lang="ar-EG" sz="3200" b="1" kern="1200"/>
            <a:t>الكشف</a:t>
          </a:r>
          <a:endParaRPr lang="en-US" sz="3200" b="1" kern="1200" dirty="0"/>
        </a:p>
      </dsp:txBody>
      <dsp:txXfrm>
        <a:off x="38591" y="39788"/>
        <a:ext cx="1897922" cy="713352"/>
      </dsp:txXfrm>
    </dsp:sp>
    <dsp:sp modelId="{77BCDDED-F1C9-4697-9F64-66694408D6D1}">
      <dsp:nvSpPr>
        <dsp:cNvPr id="0" name=""/>
        <dsp:cNvSpPr/>
      </dsp:nvSpPr>
      <dsp:spPr>
        <a:xfrm rot="5400000">
          <a:off x="3414538" y="-529120"/>
          <a:ext cx="632427" cy="3511296"/>
        </a:xfrm>
        <a:prstGeom prst="round2Same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8580" tIns="34290" rIns="68580" bIns="34290" numCol="1" spcCol="1270" anchor="ctr" anchorCtr="0">
          <a:noAutofit/>
        </a:bodyPr>
        <a:lstStyle/>
        <a:p>
          <a:pPr marL="171450" lvl="1" indent="-171450" algn="r" defTabSz="800100" rtl="1">
            <a:lnSpc>
              <a:spcPct val="90000"/>
            </a:lnSpc>
            <a:spcBef>
              <a:spcPct val="0"/>
            </a:spcBef>
            <a:spcAft>
              <a:spcPct val="15000"/>
            </a:spcAft>
            <a:buChar char="••"/>
          </a:pPr>
          <a:r>
            <a:rPr lang="ar-EG" sz="1800" kern="1200"/>
            <a:t>يجب ألا يحتل الشكل المصور مساحة أقل من 50% من حجم الشاشة </a:t>
          </a:r>
          <a:endParaRPr lang="en-US" sz="1800" kern="1200" dirty="0"/>
        </a:p>
      </dsp:txBody>
      <dsp:txXfrm rot="-5400000">
        <a:off x="1975104" y="941187"/>
        <a:ext cx="3480423" cy="570681"/>
      </dsp:txXfrm>
    </dsp:sp>
    <dsp:sp modelId="{CE236BB0-3B98-49F0-A87F-FF1E488CDE4A}">
      <dsp:nvSpPr>
        <dsp:cNvPr id="0" name=""/>
        <dsp:cNvSpPr/>
      </dsp:nvSpPr>
      <dsp:spPr>
        <a:xfrm>
          <a:off x="0" y="831259"/>
          <a:ext cx="1975104" cy="790534"/>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1920" tIns="60960" rIns="121920" bIns="60960" numCol="1" spcCol="1270" anchor="ctr" anchorCtr="0">
          <a:noAutofit/>
        </a:bodyPr>
        <a:lstStyle/>
        <a:p>
          <a:pPr lvl="0" algn="ctr" defTabSz="1422400">
            <a:lnSpc>
              <a:spcPct val="90000"/>
            </a:lnSpc>
            <a:spcBef>
              <a:spcPct val="0"/>
            </a:spcBef>
            <a:spcAft>
              <a:spcPct val="35000"/>
            </a:spcAft>
          </a:pPr>
          <a:r>
            <a:rPr lang="ar-EG" sz="3200" b="1" kern="1200"/>
            <a:t>الإدراك</a:t>
          </a:r>
          <a:endParaRPr lang="en-US" sz="3200" b="1" kern="1200" dirty="0"/>
        </a:p>
      </dsp:txBody>
      <dsp:txXfrm>
        <a:off x="38591" y="869850"/>
        <a:ext cx="1897922" cy="713352"/>
      </dsp:txXfrm>
    </dsp:sp>
    <dsp:sp modelId="{24A71026-971E-44B2-B916-831F8392BDC5}">
      <dsp:nvSpPr>
        <dsp:cNvPr id="0" name=""/>
        <dsp:cNvSpPr/>
      </dsp:nvSpPr>
      <dsp:spPr>
        <a:xfrm rot="5400000">
          <a:off x="3414538" y="300940"/>
          <a:ext cx="632427" cy="3511296"/>
        </a:xfrm>
        <a:prstGeom prst="round2Same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8580" tIns="34290" rIns="68580" bIns="34290" numCol="1" spcCol="1270" anchor="ctr" anchorCtr="0">
          <a:noAutofit/>
        </a:bodyPr>
        <a:lstStyle/>
        <a:p>
          <a:pPr marL="171450" lvl="1" indent="-171450" algn="r" defTabSz="800100" rtl="1">
            <a:lnSpc>
              <a:spcPct val="90000"/>
            </a:lnSpc>
            <a:spcBef>
              <a:spcPct val="0"/>
            </a:spcBef>
            <a:spcAft>
              <a:spcPct val="15000"/>
            </a:spcAft>
            <a:buChar char="••"/>
          </a:pPr>
          <a:r>
            <a:rPr lang="ar-EG" sz="1800" kern="1200"/>
            <a:t>يجب ألا يحتل الشكل المصور مساحة أقل من 120% من حجم الشاشة</a:t>
          </a:r>
          <a:endParaRPr lang="en-US" sz="1800" kern="1200" dirty="0"/>
        </a:p>
      </dsp:txBody>
      <dsp:txXfrm rot="-5400000">
        <a:off x="1975104" y="1771248"/>
        <a:ext cx="3480423" cy="570681"/>
      </dsp:txXfrm>
    </dsp:sp>
    <dsp:sp modelId="{F5CA3C92-C9FD-45A7-ACFB-794E5A7963A7}">
      <dsp:nvSpPr>
        <dsp:cNvPr id="0" name=""/>
        <dsp:cNvSpPr/>
      </dsp:nvSpPr>
      <dsp:spPr>
        <a:xfrm>
          <a:off x="0" y="1661321"/>
          <a:ext cx="1975104" cy="790534"/>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1920" tIns="60960" rIns="121920" bIns="60960" numCol="1" spcCol="1270" anchor="ctr" anchorCtr="0">
          <a:noAutofit/>
        </a:bodyPr>
        <a:lstStyle/>
        <a:p>
          <a:pPr lvl="0" algn="ctr" defTabSz="1422400">
            <a:lnSpc>
              <a:spcPct val="90000"/>
            </a:lnSpc>
            <a:spcBef>
              <a:spcPct val="0"/>
            </a:spcBef>
            <a:spcAft>
              <a:spcPct val="35000"/>
            </a:spcAft>
          </a:pPr>
          <a:r>
            <a:rPr lang="ar-EG" sz="3200" b="1" kern="1200"/>
            <a:t>تحديد الهوية</a:t>
          </a:r>
          <a:endParaRPr lang="en-US" sz="3200" b="1" kern="1200" dirty="0"/>
        </a:p>
      </dsp:txBody>
      <dsp:txXfrm>
        <a:off x="38591" y="1699912"/>
        <a:ext cx="1897922" cy="71335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854-7DA8-482B-8A19-C5EA2B91D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4.xml><?xml version="1.0" encoding="utf-8"?>
<ds:datastoreItem xmlns:ds="http://schemas.openxmlformats.org/officeDocument/2006/customXml" ds:itemID="{C6CFD3DB-63F5-455C-91C8-AC981055A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6</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3</cp:revision>
  <cp:lastPrinted>2013-12-04T12:49:00Z</cp:lastPrinted>
  <dcterms:created xsi:type="dcterms:W3CDTF">2017-10-20T18:47:00Z</dcterms:created>
  <dcterms:modified xsi:type="dcterms:W3CDTF">2017-10-20T18:59:00Z</dcterms:modified>
  <cp:category>Addendum 11.2: Perimeter Barrier Standards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