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379D5" w14:textId="638FB5F3" w:rsidR="00EE7DFC" w:rsidRPr="00BD150E" w:rsidRDefault="00784365"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05FF7BC5" wp14:editId="1B440C50">
            <wp:simplePos x="0" y="0"/>
            <wp:positionH relativeFrom="column">
              <wp:posOffset>5692140</wp:posOffset>
            </wp:positionH>
            <wp:positionV relativeFrom="paragraph">
              <wp:posOffset>30480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6B4A00" w:rsidRPr="006B4A00">
        <w:rPr>
          <w:b w:val="0"/>
          <w:bCs/>
          <w:sz w:val="28"/>
          <w:szCs w:val="28"/>
          <w:cs/>
          <w:lang w:bidi="ar-SA"/>
        </w:rPr>
        <w:t>الكتيب</w:t>
      </w:r>
      <w:r w:rsidR="006B4A00" w:rsidRPr="006B4A00">
        <w:rPr>
          <w:bCs/>
          <w:sz w:val="28"/>
          <w:szCs w:val="28"/>
        </w:rPr>
        <w:t xml:space="preserve"> </w:t>
      </w:r>
      <w:r w:rsidR="006B2C72" w:rsidRPr="00BD150E">
        <w:rPr>
          <w:b w:val="0"/>
          <w:bCs/>
          <w:sz w:val="28"/>
          <w:szCs w:val="28"/>
        </w:rPr>
        <w:t>13.1 خصائص نظام الحماية المادية</w:t>
      </w:r>
    </w:p>
    <w:tbl>
      <w:tblPr>
        <w:bidiVisual/>
        <w:tblW w:w="5000" w:type="pct"/>
        <w:tblCellMar>
          <w:left w:w="0" w:type="dxa"/>
          <w:right w:w="0" w:type="dxa"/>
        </w:tblCellMar>
        <w:tblLook w:val="04A0" w:firstRow="1" w:lastRow="0" w:firstColumn="1" w:lastColumn="0" w:noHBand="0" w:noVBand="1"/>
      </w:tblPr>
      <w:tblGrid>
        <w:gridCol w:w="2808"/>
        <w:gridCol w:w="6552"/>
      </w:tblGrid>
      <w:tr w:rsidR="002B3D5A" w:rsidRPr="00BD150E" w14:paraId="7F9379D8" w14:textId="77777777" w:rsidTr="002B3D5A">
        <w:trPr>
          <w:cantSplit/>
        </w:trPr>
        <w:tc>
          <w:tcPr>
            <w:tcW w:w="1500" w:type="pct"/>
            <w:hideMark/>
          </w:tcPr>
          <w:p w14:paraId="7F9379D6" w14:textId="0E72C22B" w:rsidR="002B3D5A" w:rsidRPr="00BD150E" w:rsidRDefault="002B3D5A">
            <w:pPr>
              <w:pStyle w:val="ATABody"/>
              <w:rPr>
                <w:b/>
                <w:sz w:val="28"/>
                <w:szCs w:val="28"/>
              </w:rPr>
            </w:pPr>
            <w:r w:rsidRPr="00BD150E">
              <w:rPr>
                <w:bCs/>
                <w:sz w:val="28"/>
                <w:szCs w:val="28"/>
              </w:rPr>
              <w:t>الغرض</w:t>
            </w:r>
            <w:r w:rsidRPr="00BD150E">
              <w:rPr>
                <w:b/>
                <w:sz w:val="28"/>
                <w:szCs w:val="28"/>
              </w:rPr>
              <w:t>:</w:t>
            </w:r>
          </w:p>
        </w:tc>
        <w:tc>
          <w:tcPr>
            <w:tcW w:w="3500" w:type="pct"/>
            <w:hideMark/>
          </w:tcPr>
          <w:p w14:paraId="7F9379D7" w14:textId="3CA79629" w:rsidR="002B3D5A" w:rsidRPr="00BD150E" w:rsidRDefault="00AB2622" w:rsidP="00D56540">
            <w:pPr>
              <w:pStyle w:val="ATABody"/>
              <w:rPr>
                <w:b/>
                <w:sz w:val="28"/>
                <w:szCs w:val="28"/>
              </w:rPr>
            </w:pPr>
            <w:r w:rsidRPr="00BD150E">
              <w:rPr>
                <w:b/>
                <w:sz w:val="28"/>
                <w:szCs w:val="28"/>
              </w:rPr>
              <w:t xml:space="preserve">تقديم معلومات عن السمات الرئيسية الثلاثة لنظام الحماية المادية الفعال </w:t>
            </w:r>
          </w:p>
        </w:tc>
      </w:tr>
    </w:tbl>
    <w:p w14:paraId="7F9379D9" w14:textId="77777777" w:rsidR="002B3D5A" w:rsidRPr="00BD150E" w:rsidRDefault="002B3D5A" w:rsidP="002B3D5A">
      <w:pPr>
        <w:rPr>
          <w:rFonts w:ascii="Cambria" w:hAnsi="Cambria" w:cs="Arial"/>
          <w:b/>
          <w:sz w:val="28"/>
          <w:szCs w:val="28"/>
        </w:rPr>
      </w:pPr>
    </w:p>
    <w:p w14:paraId="716E070D" w14:textId="4682BA9F" w:rsidR="009B6AEA" w:rsidRPr="00BD150E" w:rsidRDefault="00D56540" w:rsidP="00D56540">
      <w:pPr>
        <w:pStyle w:val="ATABody"/>
        <w:rPr>
          <w:b/>
          <w:sz w:val="28"/>
          <w:szCs w:val="28"/>
        </w:rPr>
      </w:pPr>
      <w:r w:rsidRPr="00BD150E">
        <w:rPr>
          <w:b/>
          <w:i/>
          <w:iCs/>
          <w:sz w:val="28"/>
          <w:szCs w:val="28"/>
        </w:rPr>
        <w:t xml:space="preserve">في الوحدة 12: </w:t>
      </w:r>
      <w:r w:rsidRPr="00BD150E">
        <w:rPr>
          <w:b/>
          <w:sz w:val="28"/>
          <w:szCs w:val="28"/>
        </w:rPr>
        <w:t>عمليات القوة الأمنية، قام المشاركون بفحص الخصائص الرئيسية الثلاثة لنظام الحماية المادية: الرصد والتقييم، والتأخير، والإستجابة. وسنفحص الآن كيفية قيام تلك الخصائص بتكوين قاعدة لنظام الحماية المادية الفعال.</w:t>
      </w:r>
    </w:p>
    <w:p w14:paraId="4054C4FC" w14:textId="77777777" w:rsidR="00D56540" w:rsidRPr="00BD150E" w:rsidRDefault="00D56540" w:rsidP="00D56540">
      <w:pPr>
        <w:pStyle w:val="ATABody"/>
        <w:rPr>
          <w:b/>
          <w:sz w:val="28"/>
          <w:szCs w:val="28"/>
        </w:rPr>
      </w:pPr>
    </w:p>
    <w:tbl>
      <w:tblPr>
        <w:bidiVisu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2164"/>
        <w:gridCol w:w="7202"/>
      </w:tblGrid>
      <w:tr w:rsidR="009B6AEA" w:rsidRPr="00BD150E" w14:paraId="6B52427C" w14:textId="77777777" w:rsidTr="00525F21">
        <w:trPr>
          <w:cantSplit/>
          <w:tblHeader/>
        </w:trPr>
        <w:tc>
          <w:tcPr>
            <w:tcW w:w="1155" w:type="pct"/>
            <w:shd w:val="clear" w:color="auto" w:fill="D9D9D9" w:themeFill="background1" w:themeFillShade="D9"/>
            <w:tcMar>
              <w:left w:w="0" w:type="dxa"/>
            </w:tcMar>
            <w:vAlign w:val="center"/>
            <w:hideMark/>
          </w:tcPr>
          <w:p w14:paraId="25118246" w14:textId="7086630A" w:rsidR="009B6AEA" w:rsidRPr="00BD150E" w:rsidRDefault="00D56540" w:rsidP="00F430FA">
            <w:pPr>
              <w:pStyle w:val="ATATableHeading"/>
              <w:rPr>
                <w:rStyle w:val="ATAEmphasis"/>
                <w:b w:val="0"/>
                <w:bCs/>
                <w:sz w:val="28"/>
                <w:szCs w:val="28"/>
              </w:rPr>
            </w:pPr>
            <w:r w:rsidRPr="00BD150E">
              <w:rPr>
                <w:rStyle w:val="ATAEmphasis"/>
                <w:b w:val="0"/>
                <w:bCs/>
                <w:sz w:val="28"/>
                <w:szCs w:val="28"/>
              </w:rPr>
              <w:t xml:space="preserve">الخصائص </w:t>
            </w:r>
          </w:p>
        </w:tc>
        <w:tc>
          <w:tcPr>
            <w:tcW w:w="3845" w:type="pct"/>
            <w:shd w:val="clear" w:color="auto" w:fill="D9D9D9" w:themeFill="background1" w:themeFillShade="D9"/>
            <w:tcMar>
              <w:left w:w="72" w:type="dxa"/>
              <w:bottom w:w="0" w:type="dxa"/>
            </w:tcMar>
            <w:vAlign w:val="center"/>
            <w:hideMark/>
          </w:tcPr>
          <w:p w14:paraId="2BBF7758" w14:textId="77777777" w:rsidR="009B6AEA" w:rsidRPr="00BD150E" w:rsidRDefault="009B6AEA" w:rsidP="00F430FA">
            <w:pPr>
              <w:pStyle w:val="ATATableHeading"/>
              <w:ind w:left="0"/>
              <w:rPr>
                <w:rStyle w:val="ATAEmphasis"/>
                <w:b w:val="0"/>
                <w:bCs/>
                <w:sz w:val="28"/>
                <w:szCs w:val="28"/>
              </w:rPr>
            </w:pPr>
            <w:r w:rsidRPr="00BD150E">
              <w:rPr>
                <w:rStyle w:val="ATAEmphasis"/>
                <w:b w:val="0"/>
                <w:bCs/>
                <w:sz w:val="28"/>
                <w:szCs w:val="28"/>
              </w:rPr>
              <w:t>الوصف</w:t>
            </w:r>
          </w:p>
        </w:tc>
      </w:tr>
      <w:tr w:rsidR="009B6AEA" w:rsidRPr="00BD150E" w14:paraId="38EC753B" w14:textId="77777777" w:rsidTr="0070498D">
        <w:trPr>
          <w:cantSplit/>
        </w:trPr>
        <w:tc>
          <w:tcPr>
            <w:tcW w:w="1155" w:type="pct"/>
            <w:tcMar>
              <w:top w:w="0" w:type="dxa"/>
              <w:left w:w="0" w:type="dxa"/>
              <w:bottom w:w="0" w:type="dxa"/>
              <w:right w:w="0" w:type="dxa"/>
            </w:tcMar>
          </w:tcPr>
          <w:p w14:paraId="4DCD6EE1" w14:textId="02E1F657" w:rsidR="009B6AEA" w:rsidRPr="00BD150E" w:rsidRDefault="00D56540" w:rsidP="00F430FA">
            <w:pPr>
              <w:pStyle w:val="ATATableBody"/>
              <w:rPr>
                <w:b/>
                <w:sz w:val="28"/>
                <w:szCs w:val="28"/>
              </w:rPr>
            </w:pPr>
            <w:r w:rsidRPr="00BD150E">
              <w:rPr>
                <w:b/>
                <w:sz w:val="28"/>
                <w:szCs w:val="28"/>
              </w:rPr>
              <w:t>الحماية العميقة</w:t>
            </w:r>
          </w:p>
        </w:tc>
        <w:tc>
          <w:tcPr>
            <w:tcW w:w="3845" w:type="pct"/>
            <w:tcMar>
              <w:left w:w="0" w:type="dxa"/>
              <w:bottom w:w="0" w:type="dxa"/>
            </w:tcMar>
          </w:tcPr>
          <w:p w14:paraId="68D90765" w14:textId="0B0B9C46" w:rsidR="009B6AEA" w:rsidRPr="00BD150E" w:rsidRDefault="00D56540" w:rsidP="00D56540">
            <w:pPr>
              <w:pStyle w:val="ATABulletLevel01BodySlide"/>
              <w:rPr>
                <w:b/>
                <w:bCs w:val="0"/>
                <w:sz w:val="28"/>
                <w:szCs w:val="28"/>
              </w:rPr>
            </w:pPr>
            <w:r w:rsidRPr="00BD150E">
              <w:rPr>
                <w:b/>
                <w:bCs w:val="0"/>
                <w:sz w:val="28"/>
                <w:szCs w:val="28"/>
              </w:rPr>
              <w:t>تطلق بعض الوكالات على الحماية العميقة مصطلح "الدفاع متعدد الطبقات".</w:t>
            </w:r>
          </w:p>
          <w:p w14:paraId="220F6E57" w14:textId="763EABA3" w:rsidR="000C1BF1" w:rsidRPr="00BD150E" w:rsidRDefault="000C1BF1" w:rsidP="00D56540">
            <w:pPr>
              <w:pStyle w:val="ATABulletLevel01BodySlide"/>
              <w:rPr>
                <w:b/>
                <w:bCs w:val="0"/>
                <w:sz w:val="28"/>
                <w:szCs w:val="28"/>
              </w:rPr>
            </w:pPr>
            <w:r w:rsidRPr="00BD150E">
              <w:rPr>
                <w:b/>
                <w:bCs w:val="0"/>
                <w:sz w:val="28"/>
                <w:szCs w:val="28"/>
              </w:rPr>
              <w:t>التعريف: هي خاصية يتمتع بها نظام الأمن المادي، وهي تجبر العنصر المتسلل على محاولة تحاشي أو التغلب على عدد من أجهزة الحماية الأمنية بطريقة متسلسلة حتى يتمكن من الوصول إلى الغرض أو الهدف.</w:t>
            </w:r>
          </w:p>
          <w:p w14:paraId="2F1DD8A5" w14:textId="337C9778" w:rsidR="000C1BF1" w:rsidRPr="00BD150E" w:rsidRDefault="000C1BF1" w:rsidP="000C1BF1">
            <w:pPr>
              <w:pStyle w:val="ATABulletLevel01BodySlide"/>
              <w:rPr>
                <w:b/>
                <w:bCs w:val="0"/>
                <w:sz w:val="28"/>
                <w:szCs w:val="28"/>
              </w:rPr>
            </w:pPr>
            <w:r w:rsidRPr="00BD150E">
              <w:rPr>
                <w:b/>
                <w:bCs w:val="0"/>
                <w:sz w:val="28"/>
                <w:szCs w:val="28"/>
              </w:rPr>
              <w:t xml:space="preserve">فعلى سبيل المثال، قد يتعين على العنصر المتسلل التغلب على جهاز استشعار واختراق حاجزين منفصلين قبل الدخول لمناطق المرفق الحيوي، مثل غرفة الخزنة التي تحتوي على ملفات المعلومات المصنفة سرية: </w:t>
            </w:r>
          </w:p>
          <w:p w14:paraId="10AC4336" w14:textId="3993584F" w:rsidR="000C1BF1" w:rsidRPr="00BD150E" w:rsidRDefault="000C1BF1" w:rsidP="000C1BF1">
            <w:pPr>
              <w:pStyle w:val="ATABulletLevel02BodySlide"/>
              <w:rPr>
                <w:b/>
                <w:bCs w:val="0"/>
                <w:sz w:val="28"/>
                <w:szCs w:val="28"/>
              </w:rPr>
            </w:pPr>
            <w:r w:rsidRPr="00BD150E">
              <w:rPr>
                <w:b/>
                <w:bCs w:val="0"/>
                <w:sz w:val="28"/>
                <w:szCs w:val="28"/>
              </w:rPr>
              <w:t>وقد تتفاوت الأساليب والأوقات المستغرفة للتغلب على كل حاجز بمفرده وقد تختلف فعالية كل عائق أمني.</w:t>
            </w:r>
          </w:p>
          <w:p w14:paraId="20C21089" w14:textId="36E903A0" w:rsidR="000C1BF1" w:rsidRPr="00BD150E" w:rsidRDefault="000C1BF1" w:rsidP="000C1BF1">
            <w:pPr>
              <w:pStyle w:val="ATABulletLevel02BodySlide"/>
              <w:rPr>
                <w:b/>
                <w:bCs w:val="0"/>
                <w:sz w:val="28"/>
                <w:szCs w:val="28"/>
              </w:rPr>
            </w:pPr>
            <w:r w:rsidRPr="00BD150E">
              <w:rPr>
                <w:b/>
                <w:bCs w:val="0"/>
                <w:sz w:val="28"/>
                <w:szCs w:val="28"/>
              </w:rPr>
              <w:t>إلا أن كل حاجز يتطلب أساليب منفصلة ومختلفة من جانب عناصر التسلل وهي تتحرك صوب الهدف.</w:t>
            </w:r>
          </w:p>
          <w:p w14:paraId="5674BAE4" w14:textId="5153A8CA" w:rsidR="000C1BF1" w:rsidRPr="00BD150E" w:rsidRDefault="000C1BF1" w:rsidP="000C1BF1">
            <w:pPr>
              <w:pStyle w:val="ATABulletLevel01BodySlide"/>
              <w:rPr>
                <w:b/>
                <w:bCs w:val="0"/>
                <w:sz w:val="28"/>
                <w:szCs w:val="28"/>
              </w:rPr>
            </w:pPr>
            <w:r w:rsidRPr="00BD150E">
              <w:rPr>
                <w:b/>
                <w:bCs w:val="0"/>
                <w:sz w:val="28"/>
                <w:szCs w:val="28"/>
              </w:rPr>
              <w:t>ونظام الأمن المادي الذي يوفر الحماية العميقة خليق أيضا بالتأثير على عناصر التسلل بالمؤثرات التالية:</w:t>
            </w:r>
          </w:p>
          <w:p w14:paraId="4A0A5875" w14:textId="171A6815" w:rsidR="000C1BF1" w:rsidRPr="00BD150E" w:rsidRDefault="000C1BF1" w:rsidP="000C1BF1">
            <w:pPr>
              <w:pStyle w:val="ATABulletLevel02BodySlide"/>
              <w:rPr>
                <w:b/>
                <w:bCs w:val="0"/>
                <w:sz w:val="28"/>
                <w:szCs w:val="28"/>
              </w:rPr>
            </w:pPr>
            <w:r w:rsidRPr="00BD150E">
              <w:rPr>
                <w:b/>
                <w:bCs w:val="0"/>
                <w:sz w:val="28"/>
                <w:szCs w:val="28"/>
              </w:rPr>
              <w:t>زيادة قلق العنصر المتسلل وعدم تمكنه من التعامل مع النظام</w:t>
            </w:r>
          </w:p>
          <w:p w14:paraId="09F06177" w14:textId="044FFD33" w:rsidR="000C1BF1" w:rsidRPr="00BD150E" w:rsidRDefault="000C1BF1" w:rsidP="000C1BF1">
            <w:pPr>
              <w:pStyle w:val="ATABulletLevel02BodySlide"/>
              <w:rPr>
                <w:b/>
                <w:bCs w:val="0"/>
                <w:sz w:val="28"/>
                <w:szCs w:val="28"/>
              </w:rPr>
            </w:pPr>
            <w:r w:rsidRPr="00BD150E">
              <w:rPr>
                <w:b/>
                <w:bCs w:val="0"/>
                <w:sz w:val="28"/>
                <w:szCs w:val="28"/>
              </w:rPr>
              <w:t>يتطلب أن يقوم المتسلل بأكبر كم من الإستعداد المضني قبل مهاجمة النظام</w:t>
            </w:r>
          </w:p>
          <w:p w14:paraId="5D2393DD" w14:textId="55333156" w:rsidR="000C1BF1" w:rsidRPr="00BD150E" w:rsidRDefault="000C1BF1" w:rsidP="000C1BF1">
            <w:pPr>
              <w:pStyle w:val="ATABulletLevel02BodySlide"/>
              <w:rPr>
                <w:b/>
                <w:bCs w:val="0"/>
                <w:sz w:val="28"/>
                <w:szCs w:val="28"/>
              </w:rPr>
            </w:pPr>
            <w:r w:rsidRPr="00BD150E">
              <w:rPr>
                <w:b/>
                <w:bCs w:val="0"/>
                <w:sz w:val="28"/>
                <w:szCs w:val="28"/>
              </w:rPr>
              <w:t>يخلق خطوات إضافية قد يفشل المتسلل في اجتيازها أو يقرر ترك المهمة</w:t>
            </w:r>
          </w:p>
        </w:tc>
      </w:tr>
      <w:tr w:rsidR="009B6AEA" w:rsidRPr="00BD150E" w14:paraId="516C830A" w14:textId="77777777" w:rsidTr="0070498D">
        <w:tc>
          <w:tcPr>
            <w:tcW w:w="1155" w:type="pct"/>
            <w:tcMar>
              <w:top w:w="0" w:type="dxa"/>
              <w:left w:w="0" w:type="dxa"/>
              <w:bottom w:w="0" w:type="dxa"/>
              <w:right w:w="0" w:type="dxa"/>
            </w:tcMar>
          </w:tcPr>
          <w:p w14:paraId="625A1A25" w14:textId="3B9B217E" w:rsidR="009B6AEA" w:rsidRPr="00BD150E" w:rsidRDefault="00D56540" w:rsidP="00F430FA">
            <w:pPr>
              <w:pStyle w:val="ATATableBody"/>
              <w:rPr>
                <w:b/>
                <w:sz w:val="28"/>
                <w:szCs w:val="28"/>
              </w:rPr>
            </w:pPr>
            <w:r w:rsidRPr="00BD150E">
              <w:rPr>
                <w:b/>
                <w:sz w:val="28"/>
                <w:szCs w:val="28"/>
              </w:rPr>
              <w:t>الحد الأدنى لعواقب فشل أحد المكونات</w:t>
            </w:r>
          </w:p>
        </w:tc>
        <w:tc>
          <w:tcPr>
            <w:tcW w:w="3845" w:type="pct"/>
            <w:tcMar>
              <w:left w:w="0" w:type="dxa"/>
              <w:bottom w:w="0" w:type="dxa"/>
            </w:tcMar>
          </w:tcPr>
          <w:p w14:paraId="17AFD736" w14:textId="787107EF" w:rsidR="009B6AEA" w:rsidRPr="00BD150E" w:rsidRDefault="000C1BF1" w:rsidP="000C1BF1">
            <w:pPr>
              <w:pStyle w:val="ATABulletLevel01BodySlide"/>
              <w:rPr>
                <w:b/>
                <w:bCs w:val="0"/>
                <w:sz w:val="28"/>
                <w:szCs w:val="28"/>
              </w:rPr>
            </w:pPr>
            <w:r w:rsidRPr="00BD150E">
              <w:rPr>
                <w:b/>
                <w:bCs w:val="0"/>
                <w:sz w:val="28"/>
                <w:szCs w:val="28"/>
              </w:rPr>
              <w:t>التعريف: خاصية لنظام الأمن المادي الفعال تهدف إلى توفير الخطط الطارئة بحيث يتمكن النظام من الإستمرار في الأداء الوظيفي حتى بعد فشل أحد مكوناته.</w:t>
            </w:r>
          </w:p>
          <w:p w14:paraId="077EDB5C" w14:textId="77777777" w:rsidR="000C1BF1" w:rsidRPr="00BD150E" w:rsidRDefault="000C1BF1" w:rsidP="000C1BF1">
            <w:pPr>
              <w:pStyle w:val="ATABulletLevel01BodySlide"/>
              <w:rPr>
                <w:b/>
                <w:bCs w:val="0"/>
                <w:sz w:val="28"/>
                <w:szCs w:val="28"/>
              </w:rPr>
            </w:pPr>
            <w:r w:rsidRPr="00BD150E">
              <w:rPr>
                <w:b/>
                <w:bCs w:val="0"/>
                <w:sz w:val="28"/>
                <w:szCs w:val="28"/>
              </w:rPr>
              <w:t xml:space="preserve">ومن غير المحتمل أن يخلو الأمر من تعرض بعض مكونات النظام المتطور لعطل أو خلل في كافة مراحل الأداء والتطوير. </w:t>
            </w:r>
          </w:p>
          <w:p w14:paraId="4ED32701" w14:textId="6DD9D44E" w:rsidR="000C1BF1" w:rsidRPr="00BD150E" w:rsidRDefault="000C1BF1" w:rsidP="000C1BF1">
            <w:pPr>
              <w:pStyle w:val="ATABulletLevel01BodySlide"/>
              <w:rPr>
                <w:b/>
                <w:bCs w:val="0"/>
                <w:sz w:val="28"/>
                <w:szCs w:val="28"/>
              </w:rPr>
            </w:pPr>
            <w:r w:rsidRPr="00BD150E">
              <w:rPr>
                <w:b/>
                <w:bCs w:val="0"/>
                <w:sz w:val="28"/>
                <w:szCs w:val="28"/>
              </w:rPr>
              <w:t xml:space="preserve">هناك العديد من أسباب فشل مكونات نظام الحماية المادية ويمكن أن تتفاوت وتتنوع مثل: </w:t>
            </w:r>
          </w:p>
          <w:p w14:paraId="58B29E6F" w14:textId="5776D8EF" w:rsidR="0070498D" w:rsidRPr="00BD150E" w:rsidRDefault="000C1BF1" w:rsidP="000C1BF1">
            <w:pPr>
              <w:pStyle w:val="ATABulletLevel02BodySlide"/>
              <w:rPr>
                <w:b/>
                <w:bCs w:val="0"/>
                <w:sz w:val="28"/>
                <w:szCs w:val="28"/>
              </w:rPr>
            </w:pPr>
            <w:r w:rsidRPr="00BD150E">
              <w:rPr>
                <w:b/>
                <w:bCs w:val="0"/>
                <w:sz w:val="28"/>
                <w:szCs w:val="28"/>
              </w:rPr>
              <w:t>عوامل بيئية (وهي عوامل متوقعة).</w:t>
            </w:r>
          </w:p>
          <w:p w14:paraId="13C50B83" w14:textId="056D28D0" w:rsidR="0070498D" w:rsidRPr="00BD150E" w:rsidRDefault="00927481" w:rsidP="000C1BF1">
            <w:pPr>
              <w:pStyle w:val="ATABulletLevel02BodySlide"/>
              <w:rPr>
                <w:b/>
                <w:bCs w:val="0"/>
                <w:sz w:val="28"/>
                <w:szCs w:val="28"/>
              </w:rPr>
            </w:pPr>
            <w:r w:rsidRPr="00BD150E">
              <w:rPr>
                <w:b/>
                <w:bCs w:val="0"/>
                <w:sz w:val="28"/>
                <w:szCs w:val="28"/>
              </w:rPr>
              <w:t xml:space="preserve">أساليب عناصر التسلل قد تكون خارج نطاق التهديد المستخدم في تصميم لنظام. </w:t>
            </w:r>
          </w:p>
          <w:p w14:paraId="76BF5C27" w14:textId="77777777" w:rsidR="0070498D" w:rsidRPr="00BD150E" w:rsidRDefault="000C1BF1" w:rsidP="007721B9">
            <w:pPr>
              <w:pStyle w:val="ATABulletLevel01BodySlide"/>
              <w:keepNext/>
              <w:keepLines/>
              <w:rPr>
                <w:b/>
                <w:bCs w:val="0"/>
                <w:sz w:val="28"/>
                <w:szCs w:val="28"/>
              </w:rPr>
            </w:pPr>
            <w:r w:rsidRPr="00BD150E">
              <w:rPr>
                <w:b/>
                <w:bCs w:val="0"/>
                <w:sz w:val="28"/>
                <w:szCs w:val="28"/>
              </w:rPr>
              <w:t xml:space="preserve">ورغم أنه من المهم معرفة سبب فشل أي من المكونات حتى يتم إصلاح النظام واستعادة الأداء الطبيعي للعمليات، إلا أن الأهم هو توفير خطط الطوارئ حتى يتمكن النظام من الإستمرار في السير الوظيفي حتى بعد فشل أحد المكونات. </w:t>
            </w:r>
          </w:p>
          <w:p w14:paraId="65AFF0ED" w14:textId="77777777" w:rsidR="0070498D" w:rsidRPr="00BD150E" w:rsidRDefault="000C1BF1" w:rsidP="0070498D">
            <w:pPr>
              <w:pStyle w:val="ATABulletLevel01BodySlide"/>
              <w:rPr>
                <w:b/>
                <w:bCs w:val="0"/>
                <w:sz w:val="28"/>
                <w:szCs w:val="28"/>
              </w:rPr>
            </w:pPr>
            <w:r w:rsidRPr="00BD150E">
              <w:rPr>
                <w:b/>
                <w:bCs w:val="0"/>
                <w:sz w:val="28"/>
                <w:szCs w:val="28"/>
              </w:rPr>
              <w:t xml:space="preserve">وفي بعض الحالات، من المحبذ جدا طلب تنفيذ أجزاء من تلك الخطط </w:t>
            </w:r>
            <w:r w:rsidRPr="00BD150E">
              <w:rPr>
                <w:b/>
                <w:bCs w:val="0"/>
                <w:sz w:val="28"/>
                <w:szCs w:val="28"/>
              </w:rPr>
              <w:lastRenderedPageBreak/>
              <w:t xml:space="preserve">الاحتياطية للحالات الطارئة بطريقة أوتوماتيكية (بحيث تحل المعدات الإحتياطية محل المعدات المعطلة وتؤدي وظيفتها على الفور). </w:t>
            </w:r>
          </w:p>
          <w:p w14:paraId="0F363CED" w14:textId="2B81C4BE" w:rsidR="000C1BF1" w:rsidRPr="00BD150E" w:rsidRDefault="000C1BF1" w:rsidP="0070498D">
            <w:pPr>
              <w:pStyle w:val="ATABulletLevel01BodySlide"/>
              <w:rPr>
                <w:b/>
                <w:bCs w:val="0"/>
                <w:sz w:val="28"/>
                <w:szCs w:val="28"/>
              </w:rPr>
            </w:pPr>
            <w:r w:rsidRPr="00BD150E">
              <w:rPr>
                <w:b/>
                <w:bCs w:val="0"/>
                <w:sz w:val="28"/>
                <w:szCs w:val="28"/>
              </w:rPr>
              <w:t xml:space="preserve">فعلى سبيل المثال، إذا قام العنصر المتسلل بتعطيل المصدر الرئيسي لتوليد الطاقة بإحدى مرافق الخدمة العامة، فيمكن استخدام مولدات إضافية أو بطاريات لتشغيل نظام التحكم الأمني. </w:t>
            </w:r>
          </w:p>
          <w:p w14:paraId="79592E84" w14:textId="77777777" w:rsidR="0070498D" w:rsidRPr="00BD150E" w:rsidRDefault="000C1BF1" w:rsidP="000C1BF1">
            <w:pPr>
              <w:pStyle w:val="ATABulletLevel01BodySlide"/>
              <w:rPr>
                <w:b/>
                <w:bCs w:val="0"/>
                <w:sz w:val="28"/>
                <w:szCs w:val="28"/>
              </w:rPr>
            </w:pPr>
            <w:r w:rsidRPr="00BD150E">
              <w:rPr>
                <w:b/>
                <w:bCs w:val="0"/>
                <w:sz w:val="28"/>
                <w:szCs w:val="28"/>
              </w:rPr>
              <w:t xml:space="preserve">وقد يتطلب فشل بعض المكونات مساعدة من مصادر خارج المنشأة حتى يتم تقليص الاثر الناجم عن الفشل أو العجز. </w:t>
            </w:r>
          </w:p>
          <w:p w14:paraId="35A9E2BF" w14:textId="1A05BBF9" w:rsidR="000C1BF1" w:rsidRPr="00BD150E" w:rsidRDefault="0070498D" w:rsidP="0070498D">
            <w:pPr>
              <w:pStyle w:val="ATABulletLevel01BodySlide"/>
              <w:rPr>
                <w:b/>
                <w:bCs w:val="0"/>
                <w:sz w:val="28"/>
                <w:szCs w:val="28"/>
              </w:rPr>
            </w:pPr>
            <w:r w:rsidRPr="00BD150E">
              <w:rPr>
                <w:b/>
                <w:bCs w:val="0"/>
                <w:sz w:val="28"/>
                <w:szCs w:val="28"/>
              </w:rPr>
              <w:t>فمثلا، استخدام قوات تطبيق القانون المحلية لتدعيم عناصر الأمن في أوقات الطوارئ القصوى - في هذه الحالة، يكون فشل أحد المكونات هو العجز المؤقت في قوات الإستجابة في حالة وقوع تهديدات جديدة.</w:t>
            </w:r>
          </w:p>
        </w:tc>
      </w:tr>
      <w:tr w:rsidR="009B6AEA" w:rsidRPr="00BD150E" w14:paraId="08BBBFF0" w14:textId="77777777" w:rsidTr="0070498D">
        <w:tc>
          <w:tcPr>
            <w:tcW w:w="1155" w:type="pct"/>
            <w:tcMar>
              <w:top w:w="0" w:type="dxa"/>
              <w:left w:w="0" w:type="dxa"/>
              <w:bottom w:w="0" w:type="dxa"/>
              <w:right w:w="0" w:type="dxa"/>
            </w:tcMar>
          </w:tcPr>
          <w:p w14:paraId="4AEC05AD" w14:textId="158C407C" w:rsidR="009B6AEA" w:rsidRPr="00BD150E" w:rsidRDefault="00D56540" w:rsidP="00F430FA">
            <w:pPr>
              <w:pStyle w:val="ATATableBody"/>
              <w:rPr>
                <w:b/>
                <w:sz w:val="28"/>
                <w:szCs w:val="28"/>
              </w:rPr>
            </w:pPr>
            <w:r w:rsidRPr="00BD150E">
              <w:rPr>
                <w:b/>
                <w:sz w:val="28"/>
                <w:szCs w:val="28"/>
              </w:rPr>
              <w:lastRenderedPageBreak/>
              <w:t>الحماية المتوازنة</w:t>
            </w:r>
          </w:p>
        </w:tc>
        <w:tc>
          <w:tcPr>
            <w:tcW w:w="3845" w:type="pct"/>
            <w:tcMar>
              <w:left w:w="0" w:type="dxa"/>
              <w:bottom w:w="0" w:type="dxa"/>
            </w:tcMar>
          </w:tcPr>
          <w:p w14:paraId="0D523ADC" w14:textId="6D4D00D4" w:rsidR="009B6AEA" w:rsidRPr="00BD150E" w:rsidRDefault="000C1BF1" w:rsidP="000C1BF1">
            <w:pPr>
              <w:pStyle w:val="ATABulletLevel01BodySlide"/>
              <w:rPr>
                <w:b/>
                <w:bCs w:val="0"/>
                <w:sz w:val="28"/>
                <w:szCs w:val="28"/>
              </w:rPr>
            </w:pPr>
            <w:r w:rsidRPr="00BD150E">
              <w:rPr>
                <w:b/>
                <w:bCs w:val="0"/>
                <w:sz w:val="28"/>
                <w:szCs w:val="28"/>
              </w:rPr>
              <w:t>التعريف: هي خاصية يتمتع بها نظام الأمن المادي الفعال، الغرض منها ضمان فشل محاولات عناصر التسلل الهجومية حيث يواجه العنصر المتسلل، حيثما توجه، عناصر فعالة من نظام الأمن المادي.</w:t>
            </w:r>
          </w:p>
          <w:p w14:paraId="51C3E890" w14:textId="690907B0" w:rsidR="000C1BF1" w:rsidRPr="00BD150E" w:rsidRDefault="000C1BF1" w:rsidP="000C1BF1">
            <w:pPr>
              <w:pStyle w:val="ATABulletLevel01BodySlide"/>
              <w:rPr>
                <w:b/>
                <w:bCs w:val="0"/>
                <w:sz w:val="28"/>
                <w:szCs w:val="28"/>
              </w:rPr>
            </w:pPr>
            <w:r w:rsidRPr="00BD150E">
              <w:rPr>
                <w:b/>
                <w:bCs w:val="0"/>
                <w:sz w:val="28"/>
                <w:szCs w:val="28"/>
              </w:rPr>
              <w:t>فخذ مثلا الحاجز السطحي الذي يحيط بالغرفة. قد يتكون هذا السطح العازل من:</w:t>
            </w:r>
          </w:p>
          <w:p w14:paraId="7FCE0A2A" w14:textId="47C35AD3" w:rsidR="000C1BF1" w:rsidRPr="00BD150E" w:rsidRDefault="000C1BF1" w:rsidP="0070498D">
            <w:pPr>
              <w:pStyle w:val="ATABulletLevel02BodySlide"/>
              <w:rPr>
                <w:b/>
                <w:bCs w:val="0"/>
                <w:sz w:val="28"/>
                <w:szCs w:val="28"/>
              </w:rPr>
            </w:pPr>
            <w:r w:rsidRPr="00BD150E">
              <w:rPr>
                <w:b/>
                <w:bCs w:val="0"/>
                <w:sz w:val="28"/>
                <w:szCs w:val="28"/>
              </w:rPr>
              <w:t>الجدران، والأرضيات، والسقف من مختلف الأنماط.</w:t>
            </w:r>
          </w:p>
          <w:p w14:paraId="1E68EA77" w14:textId="2C803163" w:rsidR="000C1BF1" w:rsidRPr="00BD150E" w:rsidRDefault="000C1BF1" w:rsidP="0070498D">
            <w:pPr>
              <w:pStyle w:val="ATABulletLevel02BodySlide"/>
              <w:rPr>
                <w:b/>
                <w:bCs w:val="0"/>
                <w:sz w:val="28"/>
                <w:szCs w:val="28"/>
              </w:rPr>
            </w:pPr>
            <w:r w:rsidRPr="00BD150E">
              <w:rPr>
                <w:b/>
                <w:bCs w:val="0"/>
                <w:sz w:val="28"/>
                <w:szCs w:val="28"/>
              </w:rPr>
              <w:t>مختلف أنواع الأبواب، والمعدات الموضوعة على الأرضيات والمعلقة بالأسقف.</w:t>
            </w:r>
          </w:p>
          <w:p w14:paraId="39F79ECA" w14:textId="4CF3698C" w:rsidR="000C1BF1" w:rsidRPr="00BD150E" w:rsidRDefault="000C1BF1" w:rsidP="0070498D">
            <w:pPr>
              <w:pStyle w:val="ATABulletLevel02BodySlide"/>
              <w:rPr>
                <w:b/>
                <w:bCs w:val="0"/>
                <w:sz w:val="28"/>
                <w:szCs w:val="28"/>
              </w:rPr>
            </w:pPr>
            <w:r w:rsidRPr="00BD150E">
              <w:rPr>
                <w:b/>
                <w:bCs w:val="0"/>
                <w:sz w:val="28"/>
                <w:szCs w:val="28"/>
              </w:rPr>
              <w:t>فتحات التسخين، والتهوية والتكييف مركب عليها أنماط متنوعة من الأسطح المعدنية ذات الثقوب.</w:t>
            </w:r>
          </w:p>
          <w:p w14:paraId="1259F0B0" w14:textId="77777777" w:rsidR="000C1BF1" w:rsidRPr="00BD150E" w:rsidRDefault="000C1BF1" w:rsidP="000C1BF1">
            <w:pPr>
              <w:pStyle w:val="ATABulletLevel01BodySlide"/>
              <w:rPr>
                <w:b/>
                <w:bCs w:val="0"/>
                <w:sz w:val="28"/>
                <w:szCs w:val="28"/>
              </w:rPr>
            </w:pPr>
            <w:r w:rsidRPr="00BD150E">
              <w:rPr>
                <w:b/>
                <w:bCs w:val="0"/>
                <w:sz w:val="28"/>
                <w:szCs w:val="28"/>
              </w:rPr>
              <w:t xml:space="preserve">وإذا كان نظام الأمن متوازنا تماما، يصبح الحد الأدنى للزمن المطلوب لإختراق كل حاجز من العوائق الأمنية معادلا للحد الأدنى لإحتمال رصد التسلل في كل من هذه الحواجز. </w:t>
            </w:r>
          </w:p>
          <w:p w14:paraId="61B47A6F" w14:textId="77777777" w:rsidR="0070498D" w:rsidRPr="00BD150E" w:rsidRDefault="0070498D" w:rsidP="0070498D">
            <w:pPr>
              <w:pStyle w:val="ATABulletLevel01BodySlide"/>
              <w:rPr>
                <w:b/>
                <w:bCs w:val="0"/>
                <w:sz w:val="28"/>
                <w:szCs w:val="28"/>
              </w:rPr>
            </w:pPr>
            <w:r w:rsidRPr="00BD150E">
              <w:rPr>
                <w:b/>
                <w:bCs w:val="0"/>
                <w:sz w:val="28"/>
                <w:szCs w:val="28"/>
              </w:rPr>
              <w:t xml:space="preserve">إلا أن التوازن الكامل هو أمر ليس فقط غير ممكن ولكنه غير محبذ. </w:t>
            </w:r>
          </w:p>
          <w:p w14:paraId="5124C55A" w14:textId="77777777" w:rsidR="0070498D" w:rsidRPr="00BD150E" w:rsidRDefault="000C1BF1" w:rsidP="0070498D">
            <w:pPr>
              <w:pStyle w:val="ATABulletLevel02BodySlide"/>
              <w:rPr>
                <w:b/>
                <w:bCs w:val="0"/>
                <w:sz w:val="28"/>
                <w:szCs w:val="28"/>
              </w:rPr>
            </w:pPr>
            <w:r w:rsidRPr="00BD150E">
              <w:rPr>
                <w:b/>
                <w:bCs w:val="0"/>
                <w:sz w:val="28"/>
                <w:szCs w:val="28"/>
              </w:rPr>
              <w:t xml:space="preserve">فبعض العناصر، مثل الجدران، قد تكون ذات درجة عالية من المقاومة ليس بسبب متطلبات الحماية المادية ولكن ذلك يكون راجعا لمتطلبات الأمن الإنشائي أو المعماري. </w:t>
            </w:r>
          </w:p>
          <w:p w14:paraId="3119F7B6" w14:textId="032D3C9F" w:rsidR="0070498D" w:rsidRPr="00BD150E" w:rsidRDefault="000C1BF1" w:rsidP="0070498D">
            <w:pPr>
              <w:pStyle w:val="ATABulletLevel02BodySlide"/>
              <w:rPr>
                <w:b/>
                <w:bCs w:val="0"/>
                <w:sz w:val="28"/>
                <w:szCs w:val="28"/>
              </w:rPr>
            </w:pPr>
            <w:r w:rsidRPr="00BD150E">
              <w:rPr>
                <w:b/>
                <w:bCs w:val="0"/>
                <w:sz w:val="28"/>
                <w:szCs w:val="28"/>
              </w:rPr>
              <w:t xml:space="preserve">فالأبواب، والفتحات، والشبكات المعدنية الواقية قد تكون أقل مقاومة للإختراق من الجدران ولكنها لاتزال عوائق كافية. </w:t>
            </w:r>
          </w:p>
          <w:p w14:paraId="5BA29F07" w14:textId="4ACEC22B" w:rsidR="000C1BF1" w:rsidRPr="00BD150E" w:rsidRDefault="000C1BF1" w:rsidP="0070498D">
            <w:pPr>
              <w:pStyle w:val="ATABulletLevel01BodySlide"/>
              <w:rPr>
                <w:b/>
                <w:bCs w:val="0"/>
                <w:sz w:val="28"/>
                <w:szCs w:val="28"/>
              </w:rPr>
            </w:pPr>
            <w:r w:rsidRPr="00BD150E">
              <w:rPr>
                <w:b/>
                <w:bCs w:val="0"/>
                <w:sz w:val="28"/>
                <w:szCs w:val="28"/>
              </w:rPr>
              <w:t>فليس من المحبذ المغالاة في التصميم الإنشائي باستخدام أبواب غالية الثمن والتي ستستغرق عدة دقائق في اختراقها عن طريق المتفجرات، إذا كانت الحوائط المحيطة بها من النوع العادي الذي يمكن اختراقه في لمح البصر بالمعدات اليدوية.</w:t>
            </w:r>
          </w:p>
        </w:tc>
      </w:tr>
    </w:tbl>
    <w:p w14:paraId="654A4DA7" w14:textId="77777777" w:rsidR="009B6AEA" w:rsidRPr="00BD150E" w:rsidRDefault="009B6AEA" w:rsidP="00AB2622">
      <w:pPr>
        <w:pStyle w:val="ATABody"/>
        <w:rPr>
          <w:b/>
          <w:sz w:val="28"/>
          <w:szCs w:val="28"/>
        </w:rPr>
      </w:pPr>
    </w:p>
    <w:sectPr w:rsidR="009B6AEA" w:rsidRPr="00BD150E"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161AA7" w14:textId="77777777" w:rsidR="00886956" w:rsidRDefault="00886956" w:rsidP="00C82114">
      <w:r>
        <w:separator/>
      </w:r>
    </w:p>
  </w:endnote>
  <w:endnote w:type="continuationSeparator" w:id="0">
    <w:p w14:paraId="570A3935" w14:textId="77777777" w:rsidR="00886956" w:rsidRDefault="00886956"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BD150E" w14:paraId="7F9379FC" w14:textId="77777777" w:rsidTr="00BD150E">
      <w:tc>
        <w:tcPr>
          <w:tcW w:w="8100" w:type="dxa"/>
          <w:shd w:val="clear" w:color="auto" w:fill="auto"/>
        </w:tcPr>
        <w:p w14:paraId="7F9379FA" w14:textId="043AAD95" w:rsidR="00C305B2" w:rsidRPr="00BD150E" w:rsidRDefault="00DA2D2F" w:rsidP="00BD150E">
          <w:pPr>
            <w:pStyle w:val="ATAFooter"/>
            <w:bidi w:val="0"/>
            <w:rPr>
              <w:rStyle w:val="ATAFooterChar"/>
              <w:rFonts w:eastAsia="Arial Unicode MS"/>
              <w:color w:val="000000" w:themeColor="text1"/>
              <w:szCs w:val="18"/>
            </w:rPr>
          </w:pPr>
          <w:r w:rsidRPr="00BD150E">
            <w:rPr>
              <w:color w:val="000000" w:themeColor="text1"/>
              <w:szCs w:val="18"/>
              <w:rtl w:val="0"/>
            </w:rPr>
            <w:t>Critical Infrastructure Security and Resilience (CISR) v4.00</w:t>
          </w:r>
        </w:p>
      </w:tc>
      <w:tc>
        <w:tcPr>
          <w:tcW w:w="1260" w:type="dxa"/>
          <w:shd w:val="clear" w:color="auto" w:fill="auto"/>
        </w:tcPr>
        <w:p w14:paraId="7F9379FB" w14:textId="689FF601" w:rsidR="00C305B2" w:rsidRPr="00BD150E" w:rsidRDefault="00C305B2" w:rsidP="00BD150E">
          <w:pPr>
            <w:pStyle w:val="ATAFooter"/>
            <w:bidi w:val="0"/>
            <w:jc w:val="right"/>
            <w:rPr>
              <w:szCs w:val="18"/>
            </w:rPr>
          </w:pPr>
          <w:r w:rsidRPr="00BD150E">
            <w:rPr>
              <w:rStyle w:val="ATAFooterChar"/>
              <w:szCs w:val="18"/>
              <w:rtl w:val="0"/>
            </w:rPr>
            <w:t xml:space="preserve">Page </w:t>
          </w:r>
          <w:r w:rsidRPr="00BD150E">
            <w:rPr>
              <w:rStyle w:val="ATAFooterChar"/>
              <w:rFonts w:eastAsia="Arial Unicode MS"/>
              <w:szCs w:val="18"/>
            </w:rPr>
            <w:fldChar w:fldCharType="begin"/>
          </w:r>
          <w:r w:rsidRPr="00BD150E">
            <w:rPr>
              <w:rStyle w:val="ATAFooterChar"/>
              <w:rFonts w:eastAsia="Arial Unicode MS"/>
              <w:szCs w:val="18"/>
            </w:rPr>
            <w:instrText xml:space="preserve"> PAGE </w:instrText>
          </w:r>
          <w:r w:rsidRPr="00BD150E">
            <w:rPr>
              <w:rStyle w:val="ATAFooterChar"/>
              <w:rFonts w:eastAsia="Arial Unicode MS"/>
              <w:szCs w:val="18"/>
            </w:rPr>
            <w:fldChar w:fldCharType="separate"/>
          </w:r>
          <w:r w:rsidR="00784365">
            <w:rPr>
              <w:rStyle w:val="ATAFooterChar"/>
              <w:rFonts w:eastAsia="Arial Unicode MS"/>
              <w:noProof/>
              <w:szCs w:val="18"/>
            </w:rPr>
            <w:t>1</w:t>
          </w:r>
          <w:r w:rsidRPr="00BD150E">
            <w:rPr>
              <w:rStyle w:val="ATAFooterChar"/>
              <w:rFonts w:eastAsia="Arial Unicode MS"/>
              <w:szCs w:val="18"/>
            </w:rPr>
            <w:fldChar w:fldCharType="end"/>
          </w:r>
          <w:r w:rsidRPr="00BD150E">
            <w:rPr>
              <w:rStyle w:val="ATAFooterChar"/>
              <w:szCs w:val="18"/>
              <w:rtl w:val="0"/>
            </w:rPr>
            <w:t xml:space="preserve"> of</w:t>
          </w:r>
          <w:r w:rsidR="00BD150E">
            <w:rPr>
              <w:rStyle w:val="ATAFooterChar"/>
              <w:szCs w:val="18"/>
              <w:rtl w:val="0"/>
            </w:rPr>
            <w:t xml:space="preserve"> </w:t>
          </w:r>
          <w:r w:rsidRPr="00BD150E">
            <w:rPr>
              <w:rStyle w:val="ATAFooterChar"/>
              <w:szCs w:val="18"/>
            </w:rPr>
            <w:t xml:space="preserve"> </w:t>
          </w:r>
          <w:r w:rsidRPr="00BD150E">
            <w:rPr>
              <w:rStyle w:val="ATAFooterChar"/>
              <w:rFonts w:eastAsia="Arial Unicode MS"/>
              <w:szCs w:val="18"/>
            </w:rPr>
            <w:fldChar w:fldCharType="begin"/>
          </w:r>
          <w:r w:rsidRPr="00BD150E">
            <w:rPr>
              <w:rStyle w:val="ATAFooterChar"/>
              <w:rFonts w:eastAsia="Arial Unicode MS"/>
              <w:szCs w:val="18"/>
            </w:rPr>
            <w:instrText xml:space="preserve"> NUMPAGES  \# "0"  \* MERGEFORMAT </w:instrText>
          </w:r>
          <w:r w:rsidRPr="00BD150E">
            <w:rPr>
              <w:rStyle w:val="ATAFooterChar"/>
              <w:rFonts w:eastAsia="Arial Unicode MS"/>
              <w:szCs w:val="18"/>
            </w:rPr>
            <w:fldChar w:fldCharType="separate"/>
          </w:r>
          <w:r w:rsidR="00784365">
            <w:rPr>
              <w:rStyle w:val="ATAFooterChar"/>
              <w:rFonts w:eastAsia="Arial Unicode MS"/>
              <w:noProof/>
              <w:szCs w:val="18"/>
            </w:rPr>
            <w:t>2</w:t>
          </w:r>
          <w:r w:rsidRPr="00BD150E">
            <w:rPr>
              <w:rStyle w:val="ATAFooterChar"/>
              <w:rFonts w:eastAsia="Arial Unicode MS"/>
              <w:szCs w:val="18"/>
            </w:rPr>
            <w:fldChar w:fldCharType="end"/>
          </w:r>
        </w:p>
      </w:tc>
    </w:tr>
  </w:tbl>
  <w:p w14:paraId="7F9379FD" w14:textId="77777777" w:rsidR="008564F0" w:rsidRPr="00E9494F" w:rsidRDefault="008564F0" w:rsidP="00BD150E">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B87AE" w14:textId="77777777" w:rsidR="00886956" w:rsidRDefault="00886956" w:rsidP="00C82114">
      <w:r>
        <w:separator/>
      </w:r>
    </w:p>
  </w:footnote>
  <w:footnote w:type="continuationSeparator" w:id="0">
    <w:p w14:paraId="06AAB2F5" w14:textId="77777777" w:rsidR="00886956" w:rsidRDefault="00886956"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6"/>
      <w:gridCol w:w="4684"/>
    </w:tblGrid>
    <w:tr w:rsidR="008564F0" w:rsidRPr="00456B51" w14:paraId="7F9379F8" w14:textId="77777777" w:rsidTr="00BD150E">
      <w:tc>
        <w:tcPr>
          <w:tcW w:w="4788" w:type="dxa"/>
          <w:shd w:val="clear" w:color="auto" w:fill="auto"/>
          <w:vAlign w:val="bottom"/>
        </w:tcPr>
        <w:p w14:paraId="7F9379F6" w14:textId="7EA0B432" w:rsidR="008564F0" w:rsidRPr="00456B51" w:rsidRDefault="00DA2D2F" w:rsidP="00BD150E">
          <w:pPr>
            <w:pStyle w:val="ATAHeader"/>
            <w:bidi w:val="0"/>
          </w:pPr>
          <w:r>
            <w:rPr>
              <w:rtl w:val="0"/>
            </w:rPr>
            <w:t>Module 13: Security Technology</w:t>
          </w:r>
        </w:p>
      </w:tc>
      <w:tc>
        <w:tcPr>
          <w:tcW w:w="4788" w:type="dxa"/>
          <w:shd w:val="clear" w:color="auto" w:fill="auto"/>
          <w:vAlign w:val="bottom"/>
        </w:tcPr>
        <w:p w14:paraId="7F9379F7" w14:textId="49081579" w:rsidR="008564F0" w:rsidRPr="00456B51" w:rsidRDefault="006B4A00" w:rsidP="00BD150E">
          <w:pPr>
            <w:pStyle w:val="ATAHeader"/>
            <w:bidi w:val="0"/>
            <w:jc w:val="right"/>
          </w:pPr>
          <w:r>
            <w:rPr>
              <w:rtl w:val="0"/>
            </w:rPr>
            <w:t>Workbook</w:t>
          </w:r>
          <w:r w:rsidR="00DA2D2F">
            <w:rPr>
              <w:rtl w:val="0"/>
            </w:rPr>
            <w:t xml:space="preserve"> 13.1: PPS Characteristics</w:t>
          </w:r>
        </w:p>
      </w:tc>
    </w:tr>
  </w:tbl>
  <w:p w14:paraId="7F9379F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861E12"/>
    <w:multiLevelType w:val="hybridMultilevel"/>
    <w:tmpl w:val="16A626F6"/>
    <w:lvl w:ilvl="0" w:tplc="0ACED900">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16"/>
  </w:num>
  <w:num w:numId="4">
    <w:abstractNumId w:val="7"/>
  </w:num>
  <w:num w:numId="5">
    <w:abstractNumId w:val="4"/>
  </w:num>
  <w:num w:numId="6">
    <w:abstractNumId w:val="9"/>
  </w:num>
  <w:num w:numId="7">
    <w:abstractNumId w:val="8"/>
  </w:num>
  <w:num w:numId="8">
    <w:abstractNumId w:val="5"/>
  </w:num>
  <w:num w:numId="9">
    <w:abstractNumId w:val="0"/>
  </w:num>
  <w:num w:numId="10">
    <w:abstractNumId w:val="15"/>
  </w:num>
  <w:num w:numId="11">
    <w:abstractNumId w:val="16"/>
  </w:num>
  <w:num w:numId="12">
    <w:abstractNumId w:val="16"/>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4"/>
  </w:num>
  <w:num w:numId="23">
    <w:abstractNumId w:val="17"/>
  </w:num>
  <w:num w:numId="24">
    <w:abstractNumId w:val="13"/>
  </w:num>
  <w:num w:numId="25">
    <w:abstractNumId w:val="19"/>
  </w:num>
  <w:num w:numId="26">
    <w:abstractNumId w:val="12"/>
  </w:num>
  <w:num w:numId="27">
    <w:abstractNumId w:val="2"/>
  </w:num>
  <w:num w:numId="28">
    <w:abstractNumId w:val="2"/>
    <w:lvlOverride w:ilvl="0">
      <w:startOverride w:val="1"/>
    </w:lvlOverride>
  </w:num>
  <w:num w:numId="29">
    <w:abstractNumId w:val="18"/>
  </w:num>
  <w:num w:numId="30">
    <w:abstractNumId w:val="1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1BF1"/>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7A82"/>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0"/>
    <w:rsid w:val="002C3037"/>
    <w:rsid w:val="002C5649"/>
    <w:rsid w:val="002D1412"/>
    <w:rsid w:val="002D2049"/>
    <w:rsid w:val="002D22E1"/>
    <w:rsid w:val="002D23BF"/>
    <w:rsid w:val="002E304A"/>
    <w:rsid w:val="002F1AE3"/>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A85"/>
    <w:rsid w:val="00421B6D"/>
    <w:rsid w:val="004239F5"/>
    <w:rsid w:val="00423B24"/>
    <w:rsid w:val="0042684A"/>
    <w:rsid w:val="00426C1D"/>
    <w:rsid w:val="004276AD"/>
    <w:rsid w:val="00433828"/>
    <w:rsid w:val="004357F5"/>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4B0D"/>
    <w:rsid w:val="004E5479"/>
    <w:rsid w:val="004E5A21"/>
    <w:rsid w:val="004F30CC"/>
    <w:rsid w:val="004F5F0C"/>
    <w:rsid w:val="004F6B0A"/>
    <w:rsid w:val="004F727F"/>
    <w:rsid w:val="005001B0"/>
    <w:rsid w:val="00500C6B"/>
    <w:rsid w:val="00503815"/>
    <w:rsid w:val="005120E9"/>
    <w:rsid w:val="005121A3"/>
    <w:rsid w:val="00521BC7"/>
    <w:rsid w:val="005242D9"/>
    <w:rsid w:val="005247CD"/>
    <w:rsid w:val="005259CD"/>
    <w:rsid w:val="00525F21"/>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094B"/>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4A00"/>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498D"/>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21B9"/>
    <w:rsid w:val="00775D9C"/>
    <w:rsid w:val="00776B60"/>
    <w:rsid w:val="00777CBB"/>
    <w:rsid w:val="0078089D"/>
    <w:rsid w:val="007813A9"/>
    <w:rsid w:val="00782330"/>
    <w:rsid w:val="00784365"/>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1CA"/>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86956"/>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27481"/>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6AEA"/>
    <w:rsid w:val="009B704B"/>
    <w:rsid w:val="009B7A3B"/>
    <w:rsid w:val="009C2D4B"/>
    <w:rsid w:val="009C4974"/>
    <w:rsid w:val="009D1395"/>
    <w:rsid w:val="009D1430"/>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57C09"/>
    <w:rsid w:val="00A60854"/>
    <w:rsid w:val="00A60CD8"/>
    <w:rsid w:val="00A6295D"/>
    <w:rsid w:val="00A62EEE"/>
    <w:rsid w:val="00A63FC7"/>
    <w:rsid w:val="00A70426"/>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622"/>
    <w:rsid w:val="00AB2D94"/>
    <w:rsid w:val="00AB5D90"/>
    <w:rsid w:val="00AC20B1"/>
    <w:rsid w:val="00AD33B9"/>
    <w:rsid w:val="00AD4D46"/>
    <w:rsid w:val="00AD4EEC"/>
    <w:rsid w:val="00AE2655"/>
    <w:rsid w:val="00AE7D14"/>
    <w:rsid w:val="00AF1D7A"/>
    <w:rsid w:val="00B030A0"/>
    <w:rsid w:val="00B04E6D"/>
    <w:rsid w:val="00B076AA"/>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150E"/>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3ED1"/>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540"/>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2D2F"/>
    <w:rsid w:val="00DA468E"/>
    <w:rsid w:val="00DA4E10"/>
    <w:rsid w:val="00DB116B"/>
    <w:rsid w:val="00DB510E"/>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5BC5"/>
    <w:rsid w:val="00E7088D"/>
    <w:rsid w:val="00E7633B"/>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C7DFA"/>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F937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B2622"/>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B262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BulletLevel03BodySlide">
    <w:name w:val="ATA  Bullet Level 03 Body/Slide"/>
    <w:basedOn w:val="Normal"/>
    <w:next w:val="Normal"/>
    <w:link w:val="ATABulletLevel03BodySlideChar"/>
    <w:uiPriority w:val="7"/>
    <w:qFormat/>
    <w:rsid w:val="008261CA"/>
    <w:pPr>
      <w:numPr>
        <w:numId w:val="29"/>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8261CA"/>
    <w:rPr>
      <w:rFonts w:ascii="Cambria" w:hAnsi="Cambria"/>
      <w:color w:val="262626" w:themeColor="text1" w:themeTint="D9"/>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B2622"/>
    <w:pPr>
      <w:outlineLvl w:val="1"/>
    </w:pPr>
    <w:rPr>
      <w:u w:val="single"/>
    </w:rPr>
  </w:style>
  <w:style w:type="paragraph" w:customStyle="1" w:styleId="ATAHeadingLevel3">
    <w:name w:val="ATA Heading Level 3"/>
    <w:next w:val="ATABody"/>
    <w:link w:val="ATAHeadingLevel3Char"/>
    <w:rsid w:val="00AB2622"/>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AB2622"/>
    <w:rPr>
      <w:rFonts w:ascii="Cambria" w:hAnsi="Cambria"/>
      <w:b/>
      <w:sz w:val="24"/>
      <w:szCs w:val="24"/>
      <w:u w:val="single"/>
    </w:rPr>
  </w:style>
  <w:style w:type="character" w:customStyle="1" w:styleId="ATAHeadingLevel3Char">
    <w:name w:val="ATA Heading Level 3 Char"/>
    <w:link w:val="ATAHeadingLevel3"/>
    <w:rsid w:val="00AB262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AB2622"/>
    <w:pPr>
      <w:bidi/>
      <w:spacing w:before="180" w:after="60"/>
    </w:pPr>
    <w:rPr>
      <w:rFonts w:ascii="Cambria" w:hAnsi="Cambria"/>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AB2622"/>
    <w:rPr>
      <w:rFonts w:ascii="Cambria" w:hAnsi="Cambria"/>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B510E"/>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B510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customStyle="1" w:styleId="ATATableHeading">
    <w:name w:val="ATA Table Heading"/>
    <w:next w:val="ATABody"/>
    <w:link w:val="ATATableHeadingChar"/>
    <w:uiPriority w:val="34"/>
    <w:qFormat/>
    <w:rsid w:val="009B6AEA"/>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9B6AEA"/>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9B6AEA"/>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9B6AEA"/>
    <w:rPr>
      <w:rFonts w:ascii="Cambria" w:hAnsi="Cambria"/>
      <w:color w:val="262626" w:themeColor="text1" w:themeTint="D9"/>
      <w:sz w:val="24"/>
      <w:szCs w:val="24"/>
    </w:rPr>
  </w:style>
  <w:style w:type="character" w:customStyle="1" w:styleId="ATAEmphasis">
    <w:name w:val="ATA Emphasis"/>
    <w:basedOn w:val="DefaultParagraphFont"/>
    <w:uiPriority w:val="1"/>
    <w:qFormat/>
    <w:rsid w:val="005247CD"/>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5247CD"/>
    <w:pPr>
      <w:numPr>
        <w:numId w:val="26"/>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5247CD"/>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8261CA"/>
    <w:pPr>
      <w:numPr>
        <w:numId w:val="27"/>
      </w:numPr>
      <w:ind w:left="720" w:hanging="288"/>
    </w:pPr>
  </w:style>
  <w:style w:type="character" w:customStyle="1" w:styleId="ATANumLevel02BodySlideChar">
    <w:name w:val="ATA Num Level 02 Body/Slide Char"/>
    <w:basedOn w:val="ATANumLevel01BodySlideChar"/>
    <w:link w:val="ATANumLevel02BodySlide"/>
    <w:uiPriority w:val="9"/>
    <w:rsid w:val="008261CA"/>
    <w:rPr>
      <w:rFonts w:ascii="Cambria" w:hAnsi="Cambria"/>
      <w:color w:val="262626" w:themeColor="text1" w:themeTint="D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0" w:unhideWhenUsed="0"/>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AB2622"/>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AB262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BulletLevel03BodySlide">
    <w:name w:val="ATA  Bullet Level 03 Body/Slide"/>
    <w:basedOn w:val="Normal"/>
    <w:next w:val="Normal"/>
    <w:link w:val="ATABulletLevel03BodySlideChar"/>
    <w:uiPriority w:val="7"/>
    <w:qFormat/>
    <w:rsid w:val="008261CA"/>
    <w:pPr>
      <w:numPr>
        <w:numId w:val="29"/>
      </w:numPr>
      <w:ind w:left="936" w:right="72" w:hanging="288"/>
      <w:outlineLvl w:val="2"/>
    </w:pPr>
    <w:rPr>
      <w:rFonts w:ascii="Cambria" w:hAnsi="Cambria"/>
      <w:color w:val="262626" w:themeColor="text1" w:themeTint="D9"/>
    </w:rPr>
  </w:style>
  <w:style w:type="character" w:customStyle="1" w:styleId="ATABulletLevel03BodySlideChar">
    <w:name w:val="ATA  Bullet Level 03 Body/Slide Char"/>
    <w:basedOn w:val="DefaultParagraphFont"/>
    <w:link w:val="ATABulletLevel03BodySlide"/>
    <w:uiPriority w:val="7"/>
    <w:rsid w:val="008261CA"/>
    <w:rPr>
      <w:rFonts w:ascii="Cambria" w:hAnsi="Cambria"/>
      <w:color w:val="262626" w:themeColor="text1" w:themeTint="D9"/>
      <w:sz w:val="24"/>
      <w:szCs w:val="24"/>
    </w:rPr>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B2622"/>
    <w:pPr>
      <w:outlineLvl w:val="1"/>
    </w:pPr>
    <w:rPr>
      <w:u w:val="single"/>
    </w:rPr>
  </w:style>
  <w:style w:type="paragraph" w:customStyle="1" w:styleId="ATAHeadingLevel3">
    <w:name w:val="ATA Heading Level 3"/>
    <w:next w:val="ATABody"/>
    <w:link w:val="ATAHeadingLevel3Char"/>
    <w:rsid w:val="00AB2622"/>
    <w:pPr>
      <w:keepNext/>
      <w:bidi/>
      <w:spacing w:before="180" w:after="60"/>
    </w:pPr>
    <w:rPr>
      <w:rFonts w:ascii="Cambria" w:hAnsi="Cambria"/>
      <w:sz w:val="24"/>
      <w:szCs w:val="24"/>
      <w:u w:val="single"/>
      <w:rtl/>
    </w:rPr>
  </w:style>
  <w:style w:type="character" w:customStyle="1" w:styleId="ATAHeadingLevel2Char">
    <w:name w:val="ATA Heading Level 2 Char"/>
    <w:link w:val="ATAHeadingLevel2"/>
    <w:rsid w:val="00AB2622"/>
    <w:rPr>
      <w:rFonts w:ascii="Cambria" w:hAnsi="Cambria"/>
      <w:b/>
      <w:sz w:val="24"/>
      <w:szCs w:val="24"/>
      <w:u w:val="single"/>
    </w:rPr>
  </w:style>
  <w:style w:type="character" w:customStyle="1" w:styleId="ATAHeadingLevel3Char">
    <w:name w:val="ATA Heading Level 3 Char"/>
    <w:link w:val="ATAHeadingLevel3"/>
    <w:rsid w:val="00AB2622"/>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AB2622"/>
    <w:pPr>
      <w:bidi/>
      <w:spacing w:before="180" w:after="60"/>
    </w:pPr>
    <w:rPr>
      <w:rFonts w:ascii="Cambria" w:hAnsi="Cambria"/>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AB2622"/>
    <w:rPr>
      <w:rFonts w:ascii="Cambria" w:hAnsi="Cambria"/>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B510E"/>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B510E"/>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customStyle="1" w:styleId="ATATableHeading">
    <w:name w:val="ATA Table Heading"/>
    <w:next w:val="ATABody"/>
    <w:link w:val="ATATableHeadingChar"/>
    <w:uiPriority w:val="34"/>
    <w:qFormat/>
    <w:rsid w:val="009B6AEA"/>
    <w:pPr>
      <w:keepNext/>
      <w:tabs>
        <w:tab w:val="right" w:pos="9360"/>
      </w:tabs>
      <w:bidi/>
      <w:spacing w:before="40" w:after="40"/>
      <w:ind w:left="72"/>
    </w:pPr>
    <w:rPr>
      <w:rFonts w:ascii="Cambria" w:hAnsi="Cambria"/>
      <w:color w:val="262626" w:themeColor="text1" w:themeTint="D9"/>
      <w:sz w:val="24"/>
      <w:szCs w:val="24"/>
      <w:rtl/>
    </w:rPr>
  </w:style>
  <w:style w:type="paragraph" w:customStyle="1" w:styleId="ATATableBody">
    <w:name w:val="ATA Table Body"/>
    <w:link w:val="ATATableBodyChar"/>
    <w:uiPriority w:val="34"/>
    <w:rsid w:val="009B6AEA"/>
    <w:pPr>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9B6AEA"/>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9B6AEA"/>
    <w:rPr>
      <w:rFonts w:ascii="Cambria" w:hAnsi="Cambria"/>
      <w:color w:val="262626" w:themeColor="text1" w:themeTint="D9"/>
      <w:sz w:val="24"/>
      <w:szCs w:val="24"/>
    </w:rPr>
  </w:style>
  <w:style w:type="character" w:customStyle="1" w:styleId="ATAEmphasis">
    <w:name w:val="ATA Emphasis"/>
    <w:basedOn w:val="DefaultParagraphFont"/>
    <w:uiPriority w:val="1"/>
    <w:qFormat/>
    <w:rsid w:val="005247CD"/>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5247CD"/>
    <w:pPr>
      <w:numPr>
        <w:numId w:val="26"/>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5247CD"/>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8261CA"/>
    <w:pPr>
      <w:numPr>
        <w:numId w:val="27"/>
      </w:numPr>
      <w:ind w:left="720" w:hanging="288"/>
    </w:pPr>
  </w:style>
  <w:style w:type="character" w:customStyle="1" w:styleId="ATANumLevel02BodySlideChar">
    <w:name w:val="ATA Num Level 02 Body/Slide Char"/>
    <w:basedOn w:val="ATANumLevel01BodySlideChar"/>
    <w:link w:val="ATANumLevel02BodySlide"/>
    <w:uiPriority w:val="9"/>
    <w:rsid w:val="008261CA"/>
    <w:rPr>
      <w:rFonts w:ascii="Cambria" w:hAnsi="Cambria"/>
      <w:color w:val="262626" w:themeColor="text1" w:themeTint="D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7FD408-DDE1-4859-A7F1-B17750121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Module 13: Security Technology</vt:lpstr>
    </vt:vector>
  </TitlesOfParts>
  <Company>Office of Antiterrorism Assistance</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13: Security Technology</dc:title>
  <dc:subject>Critical Infrastructure Security and Resilience (CISR)</dc:subject>
  <dc:creator>ATA</dc:creator>
  <cp:lastModifiedBy>RobinsKL</cp:lastModifiedBy>
  <cp:revision>3</cp:revision>
  <cp:lastPrinted>2013-12-04T12:49:00Z</cp:lastPrinted>
  <dcterms:created xsi:type="dcterms:W3CDTF">2017-10-20T18:51:00Z</dcterms:created>
  <dcterms:modified xsi:type="dcterms:W3CDTF">2017-10-20T18:56:00Z</dcterms:modified>
  <cp:category>Addendum 13.1: PPS Characteristics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