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2EF31" w14:textId="7986FF30" w:rsidR="00611055" w:rsidRPr="00F537B4" w:rsidRDefault="00BB6A77" w:rsidP="00E80349">
      <w:pPr>
        <w:pStyle w:val="ATAModuleTitle"/>
        <w:rPr>
          <w:rFonts w:asciiTheme="majorHAnsi" w:hAnsiTheme="majorHAnsi"/>
          <w:b w:val="0"/>
          <w:bCs/>
          <w:sz w:val="28"/>
          <w:szCs w:val="28"/>
        </w:rPr>
      </w:pPr>
      <w:bookmarkStart w:id="0" w:name="_GoBack"/>
      <w:r>
        <w:rPr>
          <w:noProof/>
        </w:rPr>
        <w:drawing>
          <wp:anchor distT="0" distB="0" distL="114300" distR="114300" simplePos="0" relativeHeight="251658240" behindDoc="0" locked="0" layoutInCell="1" allowOverlap="1" wp14:anchorId="65D035C1" wp14:editId="4AF8C282">
            <wp:simplePos x="0" y="0"/>
            <wp:positionH relativeFrom="column">
              <wp:posOffset>5624195</wp:posOffset>
            </wp:positionH>
            <wp:positionV relativeFrom="paragraph">
              <wp:posOffset>-7620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4A0905" w:rsidRPr="004A0905">
        <w:rPr>
          <w:rFonts w:asciiTheme="majorHAnsi" w:hAnsiTheme="majorHAnsi"/>
          <w:b w:val="0"/>
          <w:bCs/>
          <w:sz w:val="28"/>
          <w:szCs w:val="28"/>
          <w:cs/>
          <w:lang w:bidi="ar-SA"/>
        </w:rPr>
        <w:t>الكتيب</w:t>
      </w:r>
      <w:r w:rsidR="004A0905" w:rsidRPr="004A0905">
        <w:rPr>
          <w:rFonts w:asciiTheme="majorHAnsi" w:hAnsiTheme="majorHAnsi"/>
          <w:bCs/>
          <w:sz w:val="28"/>
          <w:szCs w:val="28"/>
        </w:rPr>
        <w:t xml:space="preserve"> </w:t>
      </w:r>
      <w:r w:rsidR="006B2C72" w:rsidRPr="00F537B4">
        <w:rPr>
          <w:rFonts w:asciiTheme="majorHAnsi" w:hAnsiTheme="majorHAnsi"/>
          <w:b w:val="0"/>
          <w:bCs/>
          <w:sz w:val="28"/>
          <w:szCs w:val="28"/>
        </w:rPr>
        <w:t xml:space="preserve">14.3: اختبار أداء ذو مجال محدود </w:t>
      </w:r>
    </w:p>
    <w:tbl>
      <w:tblPr>
        <w:bidiVisual/>
        <w:tblW w:w="5000" w:type="pct"/>
        <w:tblCellMar>
          <w:left w:w="0" w:type="dxa"/>
          <w:right w:w="0" w:type="dxa"/>
        </w:tblCellMar>
        <w:tblLook w:val="04A0" w:firstRow="1" w:lastRow="0" w:firstColumn="1" w:lastColumn="0" w:noHBand="0" w:noVBand="1"/>
      </w:tblPr>
      <w:tblGrid>
        <w:gridCol w:w="2808"/>
        <w:gridCol w:w="6552"/>
      </w:tblGrid>
      <w:tr w:rsidR="00E07DFC" w:rsidRPr="00F537B4" w14:paraId="50CE0F06" w14:textId="77777777" w:rsidTr="002535C9">
        <w:trPr>
          <w:cantSplit/>
        </w:trPr>
        <w:tc>
          <w:tcPr>
            <w:tcW w:w="1500" w:type="pct"/>
            <w:hideMark/>
          </w:tcPr>
          <w:p w14:paraId="1DEFB92B" w14:textId="529D6FB5" w:rsidR="00E07DFC" w:rsidRPr="00F537B4" w:rsidRDefault="00E07DFC" w:rsidP="002535C9">
            <w:pPr>
              <w:pStyle w:val="ATABody"/>
              <w:rPr>
                <w:b/>
                <w:sz w:val="28"/>
                <w:szCs w:val="28"/>
              </w:rPr>
            </w:pPr>
            <w:r w:rsidRPr="00F537B4">
              <w:rPr>
                <w:bCs/>
                <w:sz w:val="28"/>
                <w:szCs w:val="28"/>
              </w:rPr>
              <w:t>الغرض</w:t>
            </w:r>
            <w:r w:rsidRPr="00F537B4">
              <w:rPr>
                <w:b/>
                <w:sz w:val="28"/>
                <w:szCs w:val="28"/>
              </w:rPr>
              <w:t>:</w:t>
            </w:r>
          </w:p>
        </w:tc>
        <w:tc>
          <w:tcPr>
            <w:tcW w:w="3500" w:type="pct"/>
            <w:hideMark/>
          </w:tcPr>
          <w:p w14:paraId="109F7812" w14:textId="151923EB" w:rsidR="00E07DFC" w:rsidRPr="00F537B4" w:rsidRDefault="00E07DFC" w:rsidP="00BC58BF">
            <w:pPr>
              <w:pStyle w:val="ATABody"/>
              <w:rPr>
                <w:b/>
                <w:sz w:val="28"/>
                <w:szCs w:val="28"/>
              </w:rPr>
            </w:pPr>
            <w:r w:rsidRPr="00F537B4">
              <w:rPr>
                <w:b/>
                <w:sz w:val="28"/>
                <w:szCs w:val="28"/>
              </w:rPr>
              <w:t>تقديم أمثلة على فئات اختبارات الأداء المحدودة ونظام تقييم الدرجات المستخدم لقياس النتائج</w:t>
            </w:r>
          </w:p>
        </w:tc>
      </w:tr>
    </w:tbl>
    <w:p w14:paraId="7602F1BC" w14:textId="77777777" w:rsidR="00611055" w:rsidRPr="00F537B4" w:rsidRDefault="00611055" w:rsidP="00611055">
      <w:pPr>
        <w:pStyle w:val="ataBody0"/>
        <w:jc w:val="center"/>
        <w:rPr>
          <w:rFonts w:asciiTheme="majorHAnsi" w:hAnsiTheme="majorHAnsi"/>
          <w:b/>
          <w:sz w:val="28"/>
          <w:szCs w:val="28"/>
        </w:rPr>
      </w:pPr>
    </w:p>
    <w:p w14:paraId="06F4CB61" w14:textId="4D5ACA38" w:rsidR="004436E5" w:rsidRPr="00F537B4" w:rsidRDefault="004436E5" w:rsidP="004436E5">
      <w:pPr>
        <w:pStyle w:val="ATAHeadingLevel1"/>
        <w:rPr>
          <w:b w:val="0"/>
          <w:bCs/>
          <w:sz w:val="28"/>
          <w:szCs w:val="28"/>
        </w:rPr>
      </w:pPr>
      <w:r w:rsidRPr="00F537B4">
        <w:rPr>
          <w:b w:val="0"/>
          <w:bCs/>
          <w:sz w:val="28"/>
          <w:szCs w:val="28"/>
        </w:rPr>
        <w:t>فئات تصنيف اختبار الأداء ذي النطاق المحدود</w:t>
      </w:r>
    </w:p>
    <w:p w14:paraId="39B0C039" w14:textId="2F0C93AC" w:rsidR="008D0B34" w:rsidRPr="00F537B4" w:rsidRDefault="008D0B34" w:rsidP="008D0B34">
      <w:pPr>
        <w:pStyle w:val="ATABody"/>
        <w:rPr>
          <w:b/>
          <w:sz w:val="28"/>
          <w:szCs w:val="28"/>
        </w:rPr>
      </w:pPr>
      <w:r w:rsidRPr="00F537B4">
        <w:rPr>
          <w:b/>
          <w:sz w:val="28"/>
          <w:szCs w:val="28"/>
        </w:rPr>
        <w:t>هناك العديد من فئات اختبار الأداء ذي المجال المحدود، تتضمن التالي:</w:t>
      </w:r>
    </w:p>
    <w:p w14:paraId="4CCB1E67" w14:textId="306C677E" w:rsidR="008D0B34" w:rsidRPr="00F537B4" w:rsidRDefault="008D0B34" w:rsidP="008D0B34">
      <w:pPr>
        <w:pStyle w:val="ATABulletLevel01BodySlide"/>
        <w:rPr>
          <w:b/>
          <w:bCs w:val="0"/>
          <w:sz w:val="28"/>
          <w:szCs w:val="28"/>
        </w:rPr>
      </w:pPr>
      <w:r w:rsidRPr="00A26B07">
        <w:rPr>
          <w:rStyle w:val="ATAEmphasis"/>
          <w:b w:val="0"/>
          <w:sz w:val="28"/>
          <w:szCs w:val="28"/>
        </w:rPr>
        <w:t>اختبارات الأداء العملياتي</w:t>
      </w:r>
      <w:r w:rsidR="00A26B07">
        <w:rPr>
          <w:b/>
          <w:bCs w:val="0"/>
          <w:sz w:val="28"/>
          <w:szCs w:val="28"/>
          <w:rtl w:val="0"/>
        </w:rPr>
        <w:t>:</w:t>
      </w:r>
      <w:r w:rsidRPr="00F537B4">
        <w:rPr>
          <w:b/>
          <w:bCs w:val="0"/>
          <w:sz w:val="28"/>
          <w:szCs w:val="28"/>
        </w:rPr>
        <w:t xml:space="preserve"> يتم إجراء اختبارات الأداء العملياتي بصفة يومية بالمنشأة عن طريق أفراد الأمن لضمان أن معدات نظام الأمن المادي تعمل بصورة جيدة. وكمثال، يمكن أن يلاحظ فريق الفحص الأمني والتحقق القوة الأمنية وهي تستخدم جهاز التحكم اليدوي لتحريك (لقطة بكادر مفتوح، أو بميل، أو زوم) كاميرا تلفزيونية من دائرة مغلقة على منطقة يتعين ملاحظتها بالكاميرا.</w:t>
      </w:r>
    </w:p>
    <w:p w14:paraId="275A2B23" w14:textId="49CB153B" w:rsidR="008D0B34" w:rsidRPr="00F537B4" w:rsidRDefault="008D0B34" w:rsidP="008D0B34">
      <w:pPr>
        <w:pStyle w:val="ATABulletLevel01BodySlide"/>
        <w:rPr>
          <w:b/>
          <w:bCs w:val="0"/>
          <w:sz w:val="28"/>
          <w:szCs w:val="28"/>
        </w:rPr>
      </w:pPr>
      <w:r w:rsidRPr="00A26B07">
        <w:rPr>
          <w:sz w:val="28"/>
          <w:szCs w:val="28"/>
        </w:rPr>
        <w:t>ا</w:t>
      </w:r>
      <w:r w:rsidRPr="00A26B07">
        <w:rPr>
          <w:rStyle w:val="ATAEmphasis"/>
          <w:sz w:val="28"/>
          <w:szCs w:val="28"/>
        </w:rPr>
        <w:t>ختبارات الأداء</w:t>
      </w:r>
      <w:r w:rsidR="00A26B07">
        <w:rPr>
          <w:b/>
          <w:bCs w:val="0"/>
          <w:sz w:val="28"/>
          <w:szCs w:val="28"/>
          <w:rtl w:val="0"/>
        </w:rPr>
        <w:t>:</w:t>
      </w:r>
      <w:r w:rsidRPr="00F537B4">
        <w:rPr>
          <w:b/>
          <w:bCs w:val="0"/>
          <w:sz w:val="28"/>
          <w:szCs w:val="28"/>
        </w:rPr>
        <w:t xml:space="preserve"> يتم إجراء اختبارات الأداء بصفة دورية لضمان أن حساسية المعدات بنظام الحماية المادية مرتفعة بالدرجة الكافية لتدعيم القيم المفترضة لإحتمالات الرصد المستخدمة في نماذج التحليل. فعلى سبيل المثال، يمكن أن يقوم فريق الفحص الأمني والتحقق بفتح أحد الأبواب المرتبطة بجهاز استشعار لمعرفة ما إذا كان جهاز الإنذار سيعمل ويرسل إشارة إلى مركز التحكم الأمني وهل مسؤول متابعة الإشارات سيقيم الإشارة الواردة.</w:t>
      </w:r>
    </w:p>
    <w:p w14:paraId="4935AFC3" w14:textId="77777777" w:rsidR="008D0B34" w:rsidRPr="00F537B4" w:rsidRDefault="008D0B34" w:rsidP="008D0B34">
      <w:pPr>
        <w:pStyle w:val="ATABulletLevel01BodySlide"/>
        <w:rPr>
          <w:b/>
          <w:bCs w:val="0"/>
          <w:sz w:val="28"/>
          <w:szCs w:val="28"/>
        </w:rPr>
      </w:pPr>
      <w:r w:rsidRPr="00A26B07">
        <w:rPr>
          <w:rStyle w:val="ATAEmphasis"/>
          <w:b w:val="0"/>
          <w:sz w:val="28"/>
          <w:szCs w:val="28"/>
        </w:rPr>
        <w:t>اختبارات الأداء بعد الصيانة</w:t>
      </w:r>
      <w:r w:rsidRPr="00F537B4">
        <w:rPr>
          <w:b/>
          <w:bCs w:val="0"/>
          <w:sz w:val="28"/>
          <w:szCs w:val="28"/>
        </w:rPr>
        <w:t xml:space="preserve">، يجب أن يتم القيام بها إذا تمت عمليات صيانة لمعدات نظام الحماية المادية. تضمن اختبارات الأداء بعد عمليات الصيانة أن المعدات تعمل بالشكل الصحيح وبمستوى الحساسية المطلوبة. </w:t>
      </w:r>
    </w:p>
    <w:p w14:paraId="2BA4A1B6" w14:textId="77777777" w:rsidR="008D0B34" w:rsidRPr="00F537B4" w:rsidRDefault="008D0B34" w:rsidP="008D0B34">
      <w:pPr>
        <w:pStyle w:val="ATABulletLevel02BodySlide"/>
        <w:rPr>
          <w:b/>
          <w:bCs w:val="0"/>
          <w:sz w:val="28"/>
          <w:szCs w:val="28"/>
        </w:rPr>
      </w:pPr>
      <w:r w:rsidRPr="00F537B4">
        <w:rPr>
          <w:b/>
          <w:bCs w:val="0"/>
          <w:sz w:val="28"/>
          <w:szCs w:val="28"/>
        </w:rPr>
        <w:t xml:space="preserve">وباستخدام المثال السابق لاختبار الأداء بعد الصيانة، فإذا قرر فريق الفحص الأمني والتحقق أن استشعار الباب لا يعمل بصورة جيدة، يتعين عمل الصيانة اللازمة لحل المشكلة. </w:t>
      </w:r>
    </w:p>
    <w:p w14:paraId="65DC7CBC" w14:textId="77777777" w:rsidR="008D0B34" w:rsidRPr="00F537B4" w:rsidRDefault="008D0B34" w:rsidP="008D0B34">
      <w:pPr>
        <w:pStyle w:val="ATABulletLevel02BodySlide"/>
        <w:rPr>
          <w:b/>
          <w:bCs w:val="0"/>
          <w:sz w:val="28"/>
          <w:szCs w:val="28"/>
        </w:rPr>
      </w:pPr>
      <w:r w:rsidRPr="00F537B4">
        <w:rPr>
          <w:b/>
          <w:bCs w:val="0"/>
          <w:sz w:val="28"/>
          <w:szCs w:val="28"/>
        </w:rPr>
        <w:t xml:space="preserve">وبعد أعمال الصيانة المطلوبة، يمكن لفريق الفحص الأمني أجراء فحوصات إضافية بعد الصيانة عن طريق فتح نفس الباب مرة أخرى لضمان أن جهاز الإستشعار ينطلق بإشارة الإنذار أي يعمل بالصورة المطلوبة. </w:t>
      </w:r>
    </w:p>
    <w:p w14:paraId="56AA2C49" w14:textId="77777777" w:rsidR="008D0B34" w:rsidRPr="00F537B4" w:rsidRDefault="008D0B34" w:rsidP="008D0B34">
      <w:pPr>
        <w:pStyle w:val="ATABulletLevel02BodySlide"/>
        <w:rPr>
          <w:b/>
          <w:bCs w:val="0"/>
          <w:sz w:val="28"/>
          <w:szCs w:val="28"/>
        </w:rPr>
      </w:pPr>
      <w:r w:rsidRPr="00F537B4">
        <w:rPr>
          <w:b/>
          <w:bCs w:val="0"/>
          <w:sz w:val="28"/>
          <w:szCs w:val="28"/>
        </w:rPr>
        <w:t xml:space="preserve">كما يجب إجراء الفحوص اللاحقة للصيانة بعد أعمال الصيانة الروتينية لضمان أن مستويات الحساسية لم تتغير نتيجة لعمليات الصيانة وأن أجهزة الاستشعار لازالت تعمل بالصورة المقررة لها. </w:t>
      </w:r>
    </w:p>
    <w:p w14:paraId="5971CD40" w14:textId="77777777" w:rsidR="008D0B34" w:rsidRPr="00F537B4" w:rsidRDefault="008D0B34" w:rsidP="008D0B34">
      <w:pPr>
        <w:pStyle w:val="ATABulletLevel01BodySlide"/>
        <w:rPr>
          <w:b/>
          <w:bCs w:val="0"/>
          <w:sz w:val="28"/>
          <w:szCs w:val="28"/>
        </w:rPr>
      </w:pPr>
      <w:r w:rsidRPr="00A26B07">
        <w:rPr>
          <w:rStyle w:val="ATABulletLevel02BodySlideChar"/>
          <w:bCs/>
          <w:sz w:val="28"/>
          <w:szCs w:val="28"/>
        </w:rPr>
        <w:t>اختبارات الأداء المحدود والشامل</w:t>
      </w:r>
      <w:r w:rsidRPr="00F537B4">
        <w:rPr>
          <w:b/>
          <w:bCs w:val="0"/>
          <w:sz w:val="28"/>
          <w:szCs w:val="28"/>
        </w:rPr>
        <w:t xml:space="preserve">، يتم إجراء اختبارات الأداء المحدود والشامل عن طريق المنشأة لضمان أن قطاعات كبيرة من النظام تعمل معا بصفة جيدة، كما كان مقدرا في تحليل نقاط الضعف. </w:t>
      </w:r>
    </w:p>
    <w:p w14:paraId="7DDBFD31" w14:textId="77777777" w:rsidR="008D0B34" w:rsidRPr="00F537B4" w:rsidRDefault="008D0B34" w:rsidP="008D0B34">
      <w:pPr>
        <w:pStyle w:val="ATABulletLevel02BodySlide"/>
        <w:rPr>
          <w:b/>
          <w:bCs w:val="0"/>
          <w:sz w:val="28"/>
          <w:szCs w:val="28"/>
        </w:rPr>
      </w:pPr>
      <w:r w:rsidRPr="00F537B4">
        <w:rPr>
          <w:b/>
          <w:bCs w:val="0"/>
          <w:sz w:val="28"/>
          <w:szCs w:val="28"/>
        </w:rPr>
        <w:t xml:space="preserve">كما يجب اختبار بعض الأجزاء المتناسقة من نظام الحماية المادية وهي تعمل معا معرفة الرصد بالإستجابة والرصد بدون تعطيل. </w:t>
      </w:r>
    </w:p>
    <w:p w14:paraId="7B8D450C" w14:textId="77777777" w:rsidR="008D0B34" w:rsidRPr="00F537B4" w:rsidRDefault="008D0B34" w:rsidP="008D0B34">
      <w:pPr>
        <w:pStyle w:val="ATABulletLevel02BodySlide"/>
        <w:rPr>
          <w:b/>
          <w:bCs w:val="0"/>
          <w:sz w:val="28"/>
          <w:szCs w:val="28"/>
        </w:rPr>
      </w:pPr>
      <w:r w:rsidRPr="00F537B4">
        <w:rPr>
          <w:b/>
          <w:bCs w:val="0"/>
          <w:sz w:val="28"/>
          <w:szCs w:val="28"/>
        </w:rPr>
        <w:t xml:space="preserve">وكمثال، يمكن لفريق الفحص الأمني والتحقق ملاحظة وتسجيل الزمن المستغرق لتحقيق الرصد وإنطلاق الإنذار وتحقيق الإستجابة. </w:t>
      </w:r>
    </w:p>
    <w:p w14:paraId="759ECE20" w14:textId="77777777" w:rsidR="008D0B34" w:rsidRPr="00F537B4" w:rsidRDefault="008D0B34" w:rsidP="008D0B34">
      <w:pPr>
        <w:pStyle w:val="ATABulletLevel01BodySlide"/>
        <w:rPr>
          <w:b/>
          <w:bCs w:val="0"/>
          <w:sz w:val="28"/>
          <w:szCs w:val="28"/>
        </w:rPr>
      </w:pPr>
      <w:r w:rsidRPr="00A26B07">
        <w:rPr>
          <w:sz w:val="28"/>
          <w:szCs w:val="28"/>
        </w:rPr>
        <w:t>اختبارات التقييم</w:t>
      </w:r>
      <w:r w:rsidRPr="00F537B4">
        <w:rPr>
          <w:b/>
          <w:bCs w:val="0"/>
          <w:sz w:val="28"/>
          <w:szCs w:val="28"/>
        </w:rPr>
        <w:t xml:space="preserve"> هي فحوص دورية مستقلة لاختبار نظام الحماية المادية بغرض ضمان أن تحليل نقاط الضعف لا يزال مطبقا وأن مستوى فعالية نظام الأمن المادي لايزال لائقا. </w:t>
      </w:r>
    </w:p>
    <w:p w14:paraId="685689B3" w14:textId="77777777" w:rsidR="008D0B34" w:rsidRPr="00F537B4" w:rsidRDefault="008D0B34" w:rsidP="008D0B34">
      <w:pPr>
        <w:pStyle w:val="ATABulletLevel02BodySlide"/>
        <w:rPr>
          <w:b/>
          <w:bCs w:val="0"/>
          <w:sz w:val="28"/>
          <w:szCs w:val="28"/>
        </w:rPr>
      </w:pPr>
      <w:r w:rsidRPr="00F537B4">
        <w:rPr>
          <w:b/>
          <w:bCs w:val="0"/>
          <w:sz w:val="28"/>
          <w:szCs w:val="28"/>
        </w:rPr>
        <w:t xml:space="preserve">يقوم مكتب الأمن بموقع المنشأة في البنية الأساسية الحرجة بتلك الإختبارات الأمنية كنوع من التقييم الذاتي الدوري للنظام. </w:t>
      </w:r>
    </w:p>
    <w:p w14:paraId="5AED7D67" w14:textId="77777777" w:rsidR="008D0B34" w:rsidRPr="00F537B4" w:rsidRDefault="008D0B34" w:rsidP="008D0B34">
      <w:pPr>
        <w:pStyle w:val="ATABulletLevel02BodySlide"/>
        <w:rPr>
          <w:b/>
          <w:bCs w:val="0"/>
          <w:sz w:val="28"/>
          <w:szCs w:val="28"/>
        </w:rPr>
      </w:pPr>
      <w:r w:rsidRPr="00F537B4">
        <w:rPr>
          <w:b/>
          <w:bCs w:val="0"/>
          <w:sz w:val="28"/>
          <w:szCs w:val="28"/>
        </w:rPr>
        <w:t xml:space="preserve">تقوم منظمات متعاقدة متخصصة في القيام باختبارات الأداء للأنظمة الأمنية وتقييم نتائج تلك الإختبارات أيضاً. </w:t>
      </w:r>
    </w:p>
    <w:p w14:paraId="7602F1BE" w14:textId="57BADC64" w:rsidR="00611055" w:rsidRPr="00A26B07" w:rsidRDefault="004436E5" w:rsidP="004436E5">
      <w:pPr>
        <w:pStyle w:val="ATAHeadingLevel1"/>
        <w:rPr>
          <w:b w:val="0"/>
          <w:bCs/>
          <w:sz w:val="28"/>
          <w:szCs w:val="28"/>
        </w:rPr>
      </w:pPr>
      <w:r w:rsidRPr="00A26B07">
        <w:rPr>
          <w:b w:val="0"/>
          <w:bCs/>
          <w:sz w:val="28"/>
          <w:szCs w:val="28"/>
        </w:rPr>
        <w:lastRenderedPageBreak/>
        <w:t>نظام تقدير الدرجات في اختبار الأداء ذي النطاق المحدود</w:t>
      </w:r>
    </w:p>
    <w:p w14:paraId="36A5BEF2" w14:textId="4D94F656" w:rsidR="004436E5" w:rsidRPr="00F537B4" w:rsidRDefault="004436E5" w:rsidP="004436E5">
      <w:pPr>
        <w:pStyle w:val="ATABody"/>
        <w:rPr>
          <w:b/>
          <w:sz w:val="28"/>
          <w:szCs w:val="28"/>
        </w:rPr>
      </w:pPr>
      <w:r w:rsidRPr="00F537B4">
        <w:rPr>
          <w:b/>
          <w:sz w:val="28"/>
          <w:szCs w:val="28"/>
        </w:rPr>
        <w:t>وقد تنال المنشأة الحيوية الحرجة بعد اختبار الأداء أحد التقييمات الثلاثة التالية:</w:t>
      </w:r>
    </w:p>
    <w:p w14:paraId="3F579783" w14:textId="77777777" w:rsidR="004436E5" w:rsidRPr="00F537B4" w:rsidRDefault="004436E5" w:rsidP="004436E5">
      <w:pPr>
        <w:pStyle w:val="ATABulletLevel01BodySlide"/>
        <w:rPr>
          <w:rStyle w:val="ATAEmphasis"/>
          <w:bCs w:val="0"/>
          <w:sz w:val="28"/>
          <w:szCs w:val="28"/>
        </w:rPr>
      </w:pPr>
      <w:r w:rsidRPr="00A26B07">
        <w:rPr>
          <w:rStyle w:val="ATAEmphasis"/>
          <w:b w:val="0"/>
          <w:sz w:val="28"/>
          <w:szCs w:val="28"/>
        </w:rPr>
        <w:t>مقبول</w:t>
      </w:r>
      <w:r w:rsidRPr="00F537B4">
        <w:rPr>
          <w:rStyle w:val="ATAEmphasis"/>
          <w:bCs w:val="0"/>
          <w:sz w:val="28"/>
          <w:szCs w:val="28"/>
        </w:rPr>
        <w:t>:</w:t>
      </w:r>
    </w:p>
    <w:p w14:paraId="1E5C61D2" w14:textId="77777777" w:rsidR="004436E5" w:rsidRPr="00F537B4" w:rsidRDefault="004436E5" w:rsidP="004436E5">
      <w:pPr>
        <w:pStyle w:val="ATABulletLevel02BodySlide"/>
        <w:rPr>
          <w:b/>
          <w:bCs w:val="0"/>
          <w:sz w:val="28"/>
          <w:szCs w:val="28"/>
        </w:rPr>
      </w:pPr>
      <w:r w:rsidRPr="00F537B4">
        <w:rPr>
          <w:b/>
          <w:bCs w:val="0"/>
          <w:sz w:val="28"/>
          <w:szCs w:val="28"/>
        </w:rPr>
        <w:t xml:space="preserve">تقدير مقبول هو التقدير المستخدم عندما تكون عناصر الوقاية بالبرنامج في إطار منطقة محددة المستوى تفي باحتياجات الحماية المتعارف عليها أو يوفر تأكيدا معقولا أن احتياجات الحماية هذه سيتم التكفل بها إذا نشأت بالفعل. </w:t>
      </w:r>
    </w:p>
    <w:p w14:paraId="592177F9" w14:textId="77777777" w:rsidR="004436E5" w:rsidRPr="00F537B4" w:rsidRDefault="004436E5" w:rsidP="004436E5">
      <w:pPr>
        <w:pStyle w:val="ATABulletLevel02BodySlide"/>
        <w:rPr>
          <w:b/>
          <w:bCs w:val="0"/>
          <w:sz w:val="28"/>
          <w:szCs w:val="28"/>
        </w:rPr>
      </w:pPr>
      <w:r w:rsidRPr="00F537B4">
        <w:rPr>
          <w:b/>
          <w:bCs w:val="0"/>
          <w:sz w:val="28"/>
          <w:szCs w:val="28"/>
        </w:rPr>
        <w:t>وهذا يعني أن جميع عناصر نظام الأمن المادي تعمل بكفاءة للحفاظ على المستوى الأمني المتوقع.</w:t>
      </w:r>
    </w:p>
    <w:p w14:paraId="74047E9E" w14:textId="77777777" w:rsidR="004436E5" w:rsidRPr="00F537B4" w:rsidRDefault="004436E5" w:rsidP="004436E5">
      <w:pPr>
        <w:pStyle w:val="ATABulletLevel01BodySlide"/>
        <w:rPr>
          <w:rStyle w:val="ATAEmphasis"/>
          <w:bCs w:val="0"/>
          <w:sz w:val="28"/>
          <w:szCs w:val="28"/>
        </w:rPr>
      </w:pPr>
      <w:r w:rsidRPr="00A26B07">
        <w:rPr>
          <w:rStyle w:val="ATAEmphasis"/>
          <w:b w:val="0"/>
          <w:sz w:val="28"/>
          <w:szCs w:val="28"/>
        </w:rPr>
        <w:t>هامشي</w:t>
      </w:r>
      <w:r w:rsidRPr="00F537B4">
        <w:rPr>
          <w:rStyle w:val="ATAEmphasis"/>
          <w:bCs w:val="0"/>
          <w:sz w:val="28"/>
          <w:szCs w:val="28"/>
        </w:rPr>
        <w:t>:</w:t>
      </w:r>
    </w:p>
    <w:p w14:paraId="6B7A7A91" w14:textId="77777777" w:rsidR="004436E5" w:rsidRPr="00F537B4" w:rsidRDefault="004436E5" w:rsidP="004436E5">
      <w:pPr>
        <w:pStyle w:val="ATABulletLevel02BodySlide"/>
        <w:rPr>
          <w:b/>
          <w:bCs w:val="0"/>
          <w:sz w:val="28"/>
          <w:szCs w:val="28"/>
        </w:rPr>
      </w:pPr>
      <w:r w:rsidRPr="00F537B4">
        <w:rPr>
          <w:b/>
          <w:bCs w:val="0"/>
          <w:sz w:val="28"/>
          <w:szCs w:val="28"/>
        </w:rPr>
        <w:t xml:space="preserve">تقدير هامشي هو التقدير المستخدم عندما تكون عناصر الوقاية بالبرنامج في إطار منطقة محددة المستوى لا تفي إلا جزئياً باحتياجات الحماية المتعارف عليها أو توفر تأكيدا مشكوك فيه بأن احتياجات الحماية هذه سيتم التكفل بها إذا نشأت بالفعل. </w:t>
      </w:r>
    </w:p>
    <w:p w14:paraId="54BD0097" w14:textId="77777777" w:rsidR="004436E5" w:rsidRPr="00F537B4" w:rsidRDefault="004436E5" w:rsidP="004436E5">
      <w:pPr>
        <w:pStyle w:val="ATABulletLevel02BodySlide"/>
        <w:rPr>
          <w:b/>
          <w:bCs w:val="0"/>
          <w:sz w:val="28"/>
          <w:szCs w:val="28"/>
        </w:rPr>
      </w:pPr>
      <w:r w:rsidRPr="00F537B4">
        <w:rPr>
          <w:b/>
          <w:bCs w:val="0"/>
          <w:sz w:val="28"/>
          <w:szCs w:val="28"/>
        </w:rPr>
        <w:t>وهذه إشارة تحذير.</w:t>
      </w:r>
    </w:p>
    <w:p w14:paraId="71CC7AB1" w14:textId="77777777" w:rsidR="004436E5" w:rsidRPr="00A26B07" w:rsidRDefault="004436E5" w:rsidP="004436E5">
      <w:pPr>
        <w:pStyle w:val="ATABulletLevel01BodySlide"/>
        <w:rPr>
          <w:rStyle w:val="ATAEmphasis"/>
          <w:b w:val="0"/>
          <w:sz w:val="28"/>
          <w:szCs w:val="28"/>
        </w:rPr>
      </w:pPr>
      <w:r w:rsidRPr="00A26B07">
        <w:rPr>
          <w:rStyle w:val="ATAEmphasis"/>
          <w:b w:val="0"/>
          <w:sz w:val="28"/>
          <w:szCs w:val="28"/>
        </w:rPr>
        <w:t>غير مقبول</w:t>
      </w:r>
    </w:p>
    <w:p w14:paraId="4C8BD056" w14:textId="77777777" w:rsidR="004436E5" w:rsidRPr="00F537B4" w:rsidRDefault="004436E5" w:rsidP="004436E5">
      <w:pPr>
        <w:pStyle w:val="ATABulletLevel02BodySlide"/>
        <w:rPr>
          <w:b/>
          <w:bCs w:val="0"/>
          <w:sz w:val="28"/>
          <w:szCs w:val="28"/>
        </w:rPr>
      </w:pPr>
      <w:r w:rsidRPr="00F537B4">
        <w:rPr>
          <w:b/>
          <w:bCs w:val="0"/>
          <w:sz w:val="28"/>
          <w:szCs w:val="28"/>
        </w:rPr>
        <w:t xml:space="preserve">تقدير غير مقبول هو التقدير المستخدم عندما تكون عناصر الوقاية بالبرنامج في إطار منطقة محددة المستوى لا تفي باحتياجات الحماية المتعارف عليها أو لا توفر تأكيدا لائقا بأن احتياجات الحماية هذه سيتم التكفل بها إذا نشأت بالفعل. </w:t>
      </w:r>
    </w:p>
    <w:p w14:paraId="0F9B22DB" w14:textId="2AC44CA2" w:rsidR="004436E5" w:rsidRPr="00F537B4" w:rsidRDefault="004436E5" w:rsidP="004436E5">
      <w:pPr>
        <w:pStyle w:val="ATABulletLevel02BodySlide"/>
        <w:rPr>
          <w:b/>
          <w:bCs w:val="0"/>
          <w:sz w:val="28"/>
          <w:szCs w:val="28"/>
        </w:rPr>
      </w:pPr>
      <w:r w:rsidRPr="00F537B4">
        <w:rPr>
          <w:b/>
          <w:bCs w:val="0"/>
          <w:sz w:val="28"/>
          <w:szCs w:val="28"/>
        </w:rPr>
        <w:t>وهذا يعني أن عناصر نظام الأمن المادي لا تعمل وفقا للغرض المصممة من أجله وأن فعاليتها قد تدهورت إلى نقطة الفشل.</w:t>
      </w:r>
    </w:p>
    <w:sectPr w:rsidR="004436E5" w:rsidRPr="00F537B4" w:rsidSect="0056740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6E443" w14:textId="77777777" w:rsidR="001D076A" w:rsidRDefault="001D076A" w:rsidP="00C82114">
      <w:r>
        <w:separator/>
      </w:r>
    </w:p>
  </w:endnote>
  <w:endnote w:type="continuationSeparator" w:id="0">
    <w:p w14:paraId="2EEFC641" w14:textId="77777777" w:rsidR="001D076A" w:rsidRDefault="001D076A"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F537B4" w14:paraId="7602F1E0" w14:textId="77777777" w:rsidTr="00F537B4">
      <w:tc>
        <w:tcPr>
          <w:tcW w:w="8100" w:type="dxa"/>
          <w:shd w:val="clear" w:color="auto" w:fill="auto"/>
        </w:tcPr>
        <w:p w14:paraId="7602F1DE" w14:textId="518679D1" w:rsidR="00C305B2" w:rsidRPr="00F537B4" w:rsidRDefault="00525366" w:rsidP="00F537B4">
          <w:pPr>
            <w:pStyle w:val="ATAFooter"/>
            <w:bidi w:val="0"/>
            <w:rPr>
              <w:rStyle w:val="ATAFooterChar"/>
              <w:rFonts w:eastAsia="Arial Unicode MS"/>
              <w:color w:val="000000" w:themeColor="text1"/>
              <w:szCs w:val="18"/>
            </w:rPr>
          </w:pPr>
          <w:r w:rsidRPr="00F537B4">
            <w:rPr>
              <w:color w:val="000000" w:themeColor="text1"/>
              <w:szCs w:val="18"/>
              <w:rtl w:val="0"/>
            </w:rPr>
            <w:t xml:space="preserve">Critical Infrastructure Security and Resilience (CISR) </w:t>
          </w:r>
          <w:r w:rsidRPr="00F537B4">
            <w:rPr>
              <w:rStyle w:val="PlaceholderText"/>
              <w:color w:val="000000" w:themeColor="text1"/>
              <w:szCs w:val="18"/>
              <w:rtl w:val="0"/>
            </w:rPr>
            <w:t>v4.00</w:t>
          </w:r>
        </w:p>
      </w:tc>
      <w:tc>
        <w:tcPr>
          <w:tcW w:w="1260" w:type="dxa"/>
          <w:shd w:val="clear" w:color="auto" w:fill="auto"/>
        </w:tcPr>
        <w:p w14:paraId="7602F1DF" w14:textId="0ECFE3BF" w:rsidR="00C305B2" w:rsidRPr="00F537B4" w:rsidRDefault="00C305B2" w:rsidP="00F537B4">
          <w:pPr>
            <w:pStyle w:val="ATAFooter"/>
            <w:bidi w:val="0"/>
            <w:jc w:val="right"/>
            <w:rPr>
              <w:szCs w:val="18"/>
            </w:rPr>
          </w:pPr>
          <w:r w:rsidRPr="00F537B4">
            <w:rPr>
              <w:rStyle w:val="ATAFooterChar"/>
              <w:szCs w:val="18"/>
              <w:rtl w:val="0"/>
            </w:rPr>
            <w:t xml:space="preserve">Page </w:t>
          </w:r>
          <w:r w:rsidRPr="00F537B4">
            <w:rPr>
              <w:rStyle w:val="ATAFooterChar"/>
              <w:rFonts w:eastAsia="Arial Unicode MS"/>
              <w:szCs w:val="18"/>
            </w:rPr>
            <w:fldChar w:fldCharType="begin"/>
          </w:r>
          <w:r w:rsidRPr="00F537B4">
            <w:rPr>
              <w:rStyle w:val="ATAFooterChar"/>
              <w:rFonts w:eastAsia="Arial Unicode MS"/>
              <w:szCs w:val="18"/>
            </w:rPr>
            <w:instrText xml:space="preserve"> PAGE </w:instrText>
          </w:r>
          <w:r w:rsidRPr="00F537B4">
            <w:rPr>
              <w:rStyle w:val="ATAFooterChar"/>
              <w:rFonts w:eastAsia="Arial Unicode MS"/>
              <w:szCs w:val="18"/>
            </w:rPr>
            <w:fldChar w:fldCharType="separate"/>
          </w:r>
          <w:r w:rsidR="00BB6A77">
            <w:rPr>
              <w:rStyle w:val="ATAFooterChar"/>
              <w:rFonts w:eastAsia="Arial Unicode MS"/>
              <w:noProof/>
              <w:szCs w:val="18"/>
            </w:rPr>
            <w:t>1</w:t>
          </w:r>
          <w:r w:rsidRPr="00F537B4">
            <w:rPr>
              <w:rStyle w:val="ATAFooterChar"/>
              <w:rFonts w:eastAsia="Arial Unicode MS"/>
              <w:szCs w:val="18"/>
            </w:rPr>
            <w:fldChar w:fldCharType="end"/>
          </w:r>
          <w:r w:rsidRPr="00F537B4">
            <w:rPr>
              <w:rStyle w:val="ATAFooterChar"/>
              <w:szCs w:val="18"/>
              <w:rtl w:val="0"/>
            </w:rPr>
            <w:t xml:space="preserve"> of</w:t>
          </w:r>
          <w:r w:rsidR="00F537B4">
            <w:rPr>
              <w:rStyle w:val="ATAFooterChar"/>
              <w:szCs w:val="18"/>
              <w:rtl w:val="0"/>
            </w:rPr>
            <w:t xml:space="preserve"> </w:t>
          </w:r>
          <w:r w:rsidRPr="00F537B4">
            <w:rPr>
              <w:rStyle w:val="ATAFooterChar"/>
              <w:szCs w:val="18"/>
            </w:rPr>
            <w:t xml:space="preserve"> </w:t>
          </w:r>
          <w:r w:rsidRPr="00F537B4">
            <w:rPr>
              <w:rStyle w:val="ATAFooterChar"/>
              <w:rFonts w:eastAsia="Arial Unicode MS"/>
              <w:szCs w:val="18"/>
            </w:rPr>
            <w:fldChar w:fldCharType="begin"/>
          </w:r>
          <w:r w:rsidRPr="00F537B4">
            <w:rPr>
              <w:rStyle w:val="ATAFooterChar"/>
              <w:rFonts w:eastAsia="Arial Unicode MS"/>
              <w:szCs w:val="18"/>
            </w:rPr>
            <w:instrText xml:space="preserve"> NUMPAGES  \# "0"  \* MERGEFORMAT </w:instrText>
          </w:r>
          <w:r w:rsidRPr="00F537B4">
            <w:rPr>
              <w:rStyle w:val="ATAFooterChar"/>
              <w:rFonts w:eastAsia="Arial Unicode MS"/>
              <w:szCs w:val="18"/>
            </w:rPr>
            <w:fldChar w:fldCharType="separate"/>
          </w:r>
          <w:r w:rsidR="00BB6A77">
            <w:rPr>
              <w:rStyle w:val="ATAFooterChar"/>
              <w:rFonts w:eastAsia="Arial Unicode MS"/>
              <w:noProof/>
              <w:szCs w:val="18"/>
            </w:rPr>
            <w:t>2</w:t>
          </w:r>
          <w:r w:rsidRPr="00F537B4">
            <w:rPr>
              <w:rStyle w:val="ATAFooterChar"/>
              <w:rFonts w:eastAsia="Arial Unicode MS"/>
              <w:szCs w:val="18"/>
            </w:rPr>
            <w:fldChar w:fldCharType="end"/>
          </w:r>
        </w:p>
      </w:tc>
    </w:tr>
  </w:tbl>
  <w:p w14:paraId="7602F1E1" w14:textId="77777777" w:rsidR="008564F0" w:rsidRPr="00E9494F" w:rsidRDefault="008564F0" w:rsidP="00F537B4">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31394" w14:textId="77777777" w:rsidR="001D076A" w:rsidRDefault="001D076A" w:rsidP="00C82114">
      <w:r>
        <w:separator/>
      </w:r>
    </w:p>
  </w:footnote>
  <w:footnote w:type="continuationSeparator" w:id="0">
    <w:p w14:paraId="45B965EF" w14:textId="77777777" w:rsidR="001D076A" w:rsidRDefault="001D076A"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7"/>
      <w:gridCol w:w="4683"/>
    </w:tblGrid>
    <w:tr w:rsidR="00611055" w:rsidRPr="00456B51" w14:paraId="7602F1DC" w14:textId="77777777" w:rsidTr="00F537B4">
      <w:tc>
        <w:tcPr>
          <w:tcW w:w="4788" w:type="dxa"/>
          <w:shd w:val="clear" w:color="auto" w:fill="auto"/>
          <w:vAlign w:val="bottom"/>
        </w:tcPr>
        <w:p w14:paraId="7602F1DA" w14:textId="0C3554E7" w:rsidR="008564F0" w:rsidRPr="00456B51" w:rsidRDefault="00F16234" w:rsidP="00F537B4">
          <w:pPr>
            <w:pStyle w:val="ATAHeader"/>
            <w:bidi w:val="0"/>
          </w:pPr>
          <w:r>
            <w:rPr>
              <w:rtl w:val="0"/>
            </w:rPr>
            <w:t>Module 14: Security Inspection and Validation</w:t>
          </w:r>
        </w:p>
      </w:tc>
      <w:tc>
        <w:tcPr>
          <w:tcW w:w="4788" w:type="dxa"/>
          <w:shd w:val="clear" w:color="auto" w:fill="auto"/>
          <w:vAlign w:val="bottom"/>
        </w:tcPr>
        <w:p w14:paraId="7602F1DB" w14:textId="6ABAAE08" w:rsidR="008564F0" w:rsidRPr="00456B51" w:rsidRDefault="004A0905" w:rsidP="00F537B4">
          <w:pPr>
            <w:pStyle w:val="ATAHeader"/>
            <w:bidi w:val="0"/>
            <w:jc w:val="right"/>
          </w:pPr>
          <w:r>
            <w:rPr>
              <w:rtl w:val="0"/>
            </w:rPr>
            <w:t>Workbook</w:t>
          </w:r>
          <w:r w:rsidR="00C644D9">
            <w:rPr>
              <w:rtl w:val="0"/>
            </w:rPr>
            <w:t xml:space="preserve"> 14.3: Limited Scope Performance Testing</w:t>
          </w:r>
        </w:p>
      </w:tc>
    </w:tr>
  </w:tbl>
  <w:p w14:paraId="7602F1DD" w14:textId="0A845425" w:rsidR="008E31C0" w:rsidRDefault="00FB0226" w:rsidP="00FB0226">
    <w:pPr>
      <w:tabs>
        <w:tab w:val="left" w:pos="48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7"/>
  </w:num>
  <w:num w:numId="15">
    <w:abstractNumId w:val="15"/>
  </w:num>
  <w:num w:numId="16">
    <w:abstractNumId w:val="28"/>
  </w:num>
  <w:num w:numId="17">
    <w:abstractNumId w:val="28"/>
    <w:lvlOverride w:ilvl="0">
      <w:startOverride w:val="1"/>
    </w:lvlOverride>
  </w:num>
  <w:num w:numId="18">
    <w:abstractNumId w:val="27"/>
  </w:num>
  <w:num w:numId="19">
    <w:abstractNumId w:val="6"/>
  </w:num>
  <w:num w:numId="20">
    <w:abstractNumId w:val="28"/>
  </w:num>
  <w:num w:numId="21">
    <w:abstractNumId w:val="1"/>
  </w:num>
  <w:num w:numId="22">
    <w:abstractNumId w:val="17"/>
  </w:num>
  <w:num w:numId="23">
    <w:abstractNumId w:val="20"/>
  </w:num>
  <w:num w:numId="24">
    <w:abstractNumId w:val="16"/>
  </w:num>
  <w:num w:numId="25">
    <w:abstractNumId w:val="25"/>
  </w:num>
  <w:num w:numId="26">
    <w:abstractNumId w:val="29"/>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4"/>
  </w:num>
  <w:num w:numId="34">
    <w:abstractNumId w:val="4"/>
  </w:num>
  <w:num w:numId="35">
    <w:abstractNumId w:val="26"/>
  </w:num>
  <w:num w:numId="36">
    <w:abstractNumId w:val="14"/>
  </w:num>
  <w:num w:numId="37">
    <w:abstractNumId w:val="5"/>
  </w:num>
  <w:num w:numId="3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074FD"/>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051"/>
    <w:rsid w:val="000A4E8A"/>
    <w:rsid w:val="000A66AD"/>
    <w:rsid w:val="000A78C9"/>
    <w:rsid w:val="000A7E4C"/>
    <w:rsid w:val="000B347F"/>
    <w:rsid w:val="000B4F36"/>
    <w:rsid w:val="000C02D3"/>
    <w:rsid w:val="000C6B13"/>
    <w:rsid w:val="000C78A3"/>
    <w:rsid w:val="000D18CC"/>
    <w:rsid w:val="000D44FF"/>
    <w:rsid w:val="000D4AA5"/>
    <w:rsid w:val="000D4E8E"/>
    <w:rsid w:val="000D6923"/>
    <w:rsid w:val="000E053F"/>
    <w:rsid w:val="000E439C"/>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076A"/>
    <w:rsid w:val="001D2DC4"/>
    <w:rsid w:val="001D46E1"/>
    <w:rsid w:val="001E04D6"/>
    <w:rsid w:val="001E469C"/>
    <w:rsid w:val="001E4F4D"/>
    <w:rsid w:val="001F3EDA"/>
    <w:rsid w:val="001F5C04"/>
    <w:rsid w:val="001F6A3C"/>
    <w:rsid w:val="001F75B0"/>
    <w:rsid w:val="00202847"/>
    <w:rsid w:val="00204C5D"/>
    <w:rsid w:val="0021081C"/>
    <w:rsid w:val="00214C04"/>
    <w:rsid w:val="0021762A"/>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85D96"/>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49A"/>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BB4"/>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6E5"/>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0905"/>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40C"/>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A4A94"/>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055"/>
    <w:rsid w:val="0061194F"/>
    <w:rsid w:val="006142E9"/>
    <w:rsid w:val="00614472"/>
    <w:rsid w:val="006167DA"/>
    <w:rsid w:val="00621401"/>
    <w:rsid w:val="00621883"/>
    <w:rsid w:val="006242C8"/>
    <w:rsid w:val="0062594A"/>
    <w:rsid w:val="00625BD6"/>
    <w:rsid w:val="00626BA9"/>
    <w:rsid w:val="00627293"/>
    <w:rsid w:val="00627AC0"/>
    <w:rsid w:val="0063114A"/>
    <w:rsid w:val="00631A83"/>
    <w:rsid w:val="00631E6D"/>
    <w:rsid w:val="00632427"/>
    <w:rsid w:val="0063250B"/>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32E4"/>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D6779"/>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4D05"/>
    <w:rsid w:val="0087582E"/>
    <w:rsid w:val="00877234"/>
    <w:rsid w:val="00880EAA"/>
    <w:rsid w:val="00882FC0"/>
    <w:rsid w:val="008837E7"/>
    <w:rsid w:val="008840BA"/>
    <w:rsid w:val="008846C3"/>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B34"/>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26B07"/>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5FD"/>
    <w:rsid w:val="00B71BD3"/>
    <w:rsid w:val="00B72F98"/>
    <w:rsid w:val="00B75F57"/>
    <w:rsid w:val="00B76A40"/>
    <w:rsid w:val="00B770CF"/>
    <w:rsid w:val="00B800DC"/>
    <w:rsid w:val="00B8187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6A77"/>
    <w:rsid w:val="00BB7231"/>
    <w:rsid w:val="00BC0192"/>
    <w:rsid w:val="00BC120E"/>
    <w:rsid w:val="00BC1363"/>
    <w:rsid w:val="00BC1566"/>
    <w:rsid w:val="00BC3FB3"/>
    <w:rsid w:val="00BC58BF"/>
    <w:rsid w:val="00BC5A4B"/>
    <w:rsid w:val="00BC78EB"/>
    <w:rsid w:val="00BD5C6D"/>
    <w:rsid w:val="00BE468C"/>
    <w:rsid w:val="00BE58C5"/>
    <w:rsid w:val="00BE5D35"/>
    <w:rsid w:val="00BF27FE"/>
    <w:rsid w:val="00BF28DB"/>
    <w:rsid w:val="00BF4B60"/>
    <w:rsid w:val="00BF53FA"/>
    <w:rsid w:val="00BF5A79"/>
    <w:rsid w:val="00BF63FB"/>
    <w:rsid w:val="00C02039"/>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41E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07DFC"/>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3D80"/>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16FF6"/>
    <w:rsid w:val="00F23F2F"/>
    <w:rsid w:val="00F30519"/>
    <w:rsid w:val="00F30745"/>
    <w:rsid w:val="00F3355E"/>
    <w:rsid w:val="00F33B9A"/>
    <w:rsid w:val="00F33E28"/>
    <w:rsid w:val="00F36873"/>
    <w:rsid w:val="00F3729D"/>
    <w:rsid w:val="00F432A0"/>
    <w:rsid w:val="00F448D5"/>
    <w:rsid w:val="00F44B06"/>
    <w:rsid w:val="00F5175B"/>
    <w:rsid w:val="00F537B4"/>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226"/>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602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footnote reference" w:uiPriority="0"/>
    <w:lsdException w:name="annotation reference" w:uiPriority="34"/>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iPriority w:val="34"/>
    <w:semiHidden/>
    <w:unhideWhenUsed/>
    <w:rsid w:val="00264A72"/>
    <w:rPr>
      <w:sz w:val="20"/>
      <w:szCs w:val="20"/>
    </w:rPr>
  </w:style>
  <w:style w:type="character" w:customStyle="1" w:styleId="CommentTextChar">
    <w:name w:val="Comment Text Char"/>
    <w:basedOn w:val="DefaultParagraphFont"/>
    <w:link w:val="CommentText"/>
    <w:uiPriority w:val="34"/>
    <w:semiHidden/>
    <w:rsid w:val="00264A72"/>
  </w:style>
  <w:style w:type="paragraph" w:customStyle="1" w:styleId="ATABulletLevel02BodySlide">
    <w:name w:val="ATA  Bullet Level 02 Body/Slide"/>
    <w:link w:val="ATABulletLevel02BodySlideChar"/>
    <w:uiPriority w:val="6"/>
    <w:qFormat/>
    <w:rsid w:val="00F16FF6"/>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F16FF6"/>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uiPriority w:val="34"/>
    <w:semiHidden/>
    <w:unhideWhenUsed/>
    <w:rsid w:val="00E07DFC"/>
    <w:rPr>
      <w:sz w:val="16"/>
      <w:szCs w:val="16"/>
    </w:rPr>
  </w:style>
  <w:style w:type="paragraph" w:customStyle="1" w:styleId="ATABulletLevel03BodySlide">
    <w:name w:val="ATA  Bullet Level 03 Body/Slide"/>
    <w:basedOn w:val="ATABulletLevel01BodySlide"/>
    <w:link w:val="ATABulletLevel03BodySlideChar"/>
    <w:uiPriority w:val="7"/>
    <w:qFormat/>
    <w:rsid w:val="008D0B34"/>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D0B34"/>
    <w:rPr>
      <w:rFonts w:ascii="Cambria" w:hAnsi="Cambria"/>
      <w:color w:val="262626" w:themeColor="text1" w:themeTint="D9"/>
      <w:sz w:val="24"/>
      <w:szCs w:val="24"/>
    </w:rPr>
  </w:style>
  <w:style w:type="character" w:customStyle="1" w:styleId="ATAEmphasis">
    <w:name w:val="ATA Emphasis"/>
    <w:basedOn w:val="DefaultParagraphFont"/>
    <w:uiPriority w:val="1"/>
    <w:qFormat/>
    <w:rsid w:val="008D0B34"/>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footnote reference" w:uiPriority="0"/>
    <w:lsdException w:name="annotation reference" w:uiPriority="34"/>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iPriority w:val="34"/>
    <w:semiHidden/>
    <w:unhideWhenUsed/>
    <w:rsid w:val="00264A72"/>
    <w:rPr>
      <w:sz w:val="20"/>
      <w:szCs w:val="20"/>
    </w:rPr>
  </w:style>
  <w:style w:type="character" w:customStyle="1" w:styleId="CommentTextChar">
    <w:name w:val="Comment Text Char"/>
    <w:basedOn w:val="DefaultParagraphFont"/>
    <w:link w:val="CommentText"/>
    <w:uiPriority w:val="34"/>
    <w:semiHidden/>
    <w:rsid w:val="00264A72"/>
  </w:style>
  <w:style w:type="paragraph" w:customStyle="1" w:styleId="ATABulletLevel02BodySlide">
    <w:name w:val="ATA  Bullet Level 02 Body/Slide"/>
    <w:link w:val="ATABulletLevel02BodySlideChar"/>
    <w:uiPriority w:val="6"/>
    <w:qFormat/>
    <w:rsid w:val="00F16FF6"/>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F16FF6"/>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uiPriority w:val="34"/>
    <w:semiHidden/>
    <w:unhideWhenUsed/>
    <w:rsid w:val="00E07DFC"/>
    <w:rPr>
      <w:sz w:val="16"/>
      <w:szCs w:val="16"/>
    </w:rPr>
  </w:style>
  <w:style w:type="paragraph" w:customStyle="1" w:styleId="ATABulletLevel03BodySlide">
    <w:name w:val="ATA  Bullet Level 03 Body/Slide"/>
    <w:basedOn w:val="ATABulletLevel01BodySlide"/>
    <w:link w:val="ATABulletLevel03BodySlideChar"/>
    <w:uiPriority w:val="7"/>
    <w:qFormat/>
    <w:rsid w:val="008D0B34"/>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D0B34"/>
    <w:rPr>
      <w:rFonts w:ascii="Cambria" w:hAnsi="Cambria"/>
      <w:color w:val="262626" w:themeColor="text1" w:themeTint="D9"/>
      <w:sz w:val="24"/>
      <w:szCs w:val="24"/>
    </w:rPr>
  </w:style>
  <w:style w:type="character" w:customStyle="1" w:styleId="ATAEmphasis">
    <w:name w:val="ATA Emphasis"/>
    <w:basedOn w:val="DefaultParagraphFont"/>
    <w:uiPriority w:val="1"/>
    <w:qFormat/>
    <w:rsid w:val="008D0B34"/>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schemas.openxmlformats.org/package/2006/metadata/core-properties"/>
    <ds:schemaRef ds:uri="http://purl.org/dc/term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7E591D3-9493-4DB8-BD85-33855F943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4.xml><?xml version="1.0" encoding="utf-8"?>
<ds:datastoreItem xmlns:ds="http://schemas.openxmlformats.org/officeDocument/2006/customXml" ds:itemID="{76031FFF-311C-466F-8CB5-372AF5BA1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Module 14: Security Inspection and Validation</vt:lpstr>
    </vt:vector>
  </TitlesOfParts>
  <Company>Office of Antiterrorism Assistance</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14: Security Inspection and Validation</dc:title>
  <dc:subject>Critical Infrastructure Security and Resilience (CISR)</dc:subject>
  <dc:creator>ATA</dc:creator>
  <cp:lastModifiedBy>RobinsKL</cp:lastModifiedBy>
  <cp:revision>3</cp:revision>
  <cp:lastPrinted>2013-12-04T12:49:00Z</cp:lastPrinted>
  <dcterms:created xsi:type="dcterms:W3CDTF">2017-10-20T18:53:00Z</dcterms:created>
  <dcterms:modified xsi:type="dcterms:W3CDTF">2017-10-20T18:58:00Z</dcterms:modified>
  <cp:category>Addendum 14.3: Limited Scope Performance Testing</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