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379D5" w14:textId="07C55788" w:rsidR="00EE7DFC" w:rsidRPr="00644D00" w:rsidRDefault="007401B9" w:rsidP="00E80349">
      <w:pPr>
        <w:pStyle w:val="ATAModuleTitle"/>
      </w:pPr>
      <w:r>
        <w:rPr>
          <w:noProof/>
        </w:rPr>
        <w:drawing>
          <wp:anchor distT="0" distB="0" distL="114300" distR="114300" simplePos="0" relativeHeight="251658240" behindDoc="0" locked="0" layoutInCell="1" allowOverlap="1" wp14:anchorId="16066D18" wp14:editId="38BBBC79">
            <wp:simplePos x="0" y="0"/>
            <wp:positionH relativeFrom="column">
              <wp:posOffset>5667375</wp:posOffset>
            </wp:positionH>
            <wp:positionV relativeFrom="paragraph">
              <wp:posOffset>-47625</wp:posOffset>
            </wp:positionV>
            <wp:extent cx="271780"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t>Workbook</w:t>
      </w:r>
      <w:r w:rsidR="006B2C72">
        <w:t xml:space="preserve"> </w:t>
      </w:r>
      <w:r w:rsidR="001E32F7">
        <w:t>8.2</w:t>
      </w:r>
      <w:r w:rsidR="003019E9">
        <w:t xml:space="preserve">: </w:t>
      </w:r>
      <w:r w:rsidR="00306311">
        <w:t>Indicators of Hostile Surveillance</w:t>
      </w:r>
      <w:r w:rsidR="003204FE">
        <w:t xml:space="preserve"> Activities</w:t>
      </w:r>
    </w:p>
    <w:tbl>
      <w:tblPr>
        <w:tblW w:w="5000" w:type="pct"/>
        <w:tblCellMar>
          <w:left w:w="0" w:type="dxa"/>
          <w:right w:w="0" w:type="dxa"/>
        </w:tblCellMar>
        <w:tblLook w:val="04A0" w:firstRow="1" w:lastRow="0" w:firstColumn="1" w:lastColumn="0" w:noHBand="0" w:noVBand="1"/>
      </w:tblPr>
      <w:tblGrid>
        <w:gridCol w:w="2808"/>
        <w:gridCol w:w="6552"/>
      </w:tblGrid>
      <w:tr w:rsidR="002B3D5A" w14:paraId="7F9379D8" w14:textId="77777777" w:rsidTr="002B3D5A">
        <w:trPr>
          <w:cantSplit/>
        </w:trPr>
        <w:tc>
          <w:tcPr>
            <w:tcW w:w="1500" w:type="pct"/>
            <w:hideMark/>
          </w:tcPr>
          <w:p w14:paraId="7F9379D6" w14:textId="39D6FD6F" w:rsidR="002B3D5A" w:rsidRDefault="002B3D5A">
            <w:pPr>
              <w:pStyle w:val="ATABody"/>
              <w:rPr>
                <w:b/>
              </w:rPr>
            </w:pPr>
            <w:r>
              <w:rPr>
                <w:b/>
              </w:rPr>
              <w:t>Purpose:</w:t>
            </w:r>
          </w:p>
        </w:tc>
        <w:tc>
          <w:tcPr>
            <w:tcW w:w="3500" w:type="pct"/>
            <w:hideMark/>
          </w:tcPr>
          <w:p w14:paraId="7F9379D7" w14:textId="756383D9" w:rsidR="002B3D5A" w:rsidRPr="00B0736B" w:rsidRDefault="000115C4" w:rsidP="008F6238">
            <w:pPr>
              <w:pStyle w:val="ATABody"/>
            </w:pPr>
            <w:r>
              <w:t>T</w:t>
            </w:r>
            <w:r w:rsidR="003019E9" w:rsidRPr="00B0736B">
              <w:t>o present examples of typical indicators of surveillance</w:t>
            </w:r>
          </w:p>
        </w:tc>
      </w:tr>
    </w:tbl>
    <w:p w14:paraId="7F9379D9" w14:textId="77777777" w:rsidR="002B3D5A" w:rsidRDefault="002B3D5A" w:rsidP="002B3D5A">
      <w:pPr>
        <w:rPr>
          <w:rFonts w:ascii="Cambria" w:hAnsi="Cambria" w:cs="Arial"/>
        </w:rPr>
      </w:pPr>
    </w:p>
    <w:p w14:paraId="30223675" w14:textId="312F87F9" w:rsidR="00565D41" w:rsidRPr="00565D41" w:rsidRDefault="00565D41" w:rsidP="00565D41">
      <w:pPr>
        <w:pStyle w:val="ATABody"/>
      </w:pPr>
      <w:r w:rsidRPr="00565D41">
        <w:t xml:space="preserve">As a </w:t>
      </w:r>
      <w:r w:rsidR="00306311">
        <w:t xml:space="preserve">law enforcement </w:t>
      </w:r>
      <w:r w:rsidR="00960536">
        <w:t>officer</w:t>
      </w:r>
      <w:r w:rsidR="00306311">
        <w:t xml:space="preserve">, </w:t>
      </w:r>
      <w:r w:rsidR="00960536">
        <w:t xml:space="preserve">a member of </w:t>
      </w:r>
      <w:r w:rsidR="00306311">
        <w:t xml:space="preserve">the community, </w:t>
      </w:r>
      <w:r w:rsidR="00960536">
        <w:t xml:space="preserve">a </w:t>
      </w:r>
      <w:r w:rsidR="00306311">
        <w:t xml:space="preserve">critical infrastructure </w:t>
      </w:r>
      <w:r w:rsidR="00960536">
        <w:t>employee</w:t>
      </w:r>
      <w:r w:rsidR="00306311">
        <w:t xml:space="preserve">, or </w:t>
      </w:r>
      <w:r w:rsidR="00960536">
        <w:t xml:space="preserve">a member of </w:t>
      </w:r>
      <w:r w:rsidR="00306311">
        <w:t xml:space="preserve">critical infrastructure security </w:t>
      </w:r>
      <w:r w:rsidR="00960536">
        <w:t>personnel</w:t>
      </w:r>
      <w:r w:rsidRPr="00565D41">
        <w:t>, you should always be watchful for indicators that will alert you to hostile surveillance against a potential target. To distinguish normal from abnormal behaviors, you must first be familiar with normal activities and routines in your area of responsibility and then be alert to actions or charact</w:t>
      </w:r>
      <w:r w:rsidR="00D32FB7">
        <w:t>eristics that do not fit the nor</w:t>
      </w:r>
      <w:r w:rsidRPr="00565D41">
        <w:t xml:space="preserve">m and trigger suspicions. </w:t>
      </w:r>
    </w:p>
    <w:p w14:paraId="2B8FF900" w14:textId="77777777" w:rsidR="00565D41" w:rsidRPr="00565D41" w:rsidRDefault="00565D41" w:rsidP="00565D41">
      <w:pPr>
        <w:pStyle w:val="ATABody"/>
      </w:pPr>
    </w:p>
    <w:p w14:paraId="4D504E50" w14:textId="52CE5382" w:rsidR="00565D41" w:rsidRDefault="00565D41" w:rsidP="00565D41">
      <w:pPr>
        <w:pStyle w:val="ATABody"/>
      </w:pPr>
      <w:r w:rsidRPr="00565D41">
        <w:t>You should systematically observe specific areas to identify people or activities inconsistent with the environment and expected behavior. If observed, you must document and report all of these indicators.</w:t>
      </w:r>
      <w:r>
        <w:t xml:space="preserve"> </w:t>
      </w:r>
    </w:p>
    <w:p w14:paraId="1CD940AF" w14:textId="77777777" w:rsidR="00565D41" w:rsidRDefault="00565D41" w:rsidP="00565D41">
      <w:pPr>
        <w:pStyle w:val="ATABody"/>
      </w:pPr>
    </w:p>
    <w:p w14:paraId="7F9379DB" w14:textId="6C4041F7" w:rsidR="00C305B2" w:rsidRDefault="00565D41" w:rsidP="00565D41">
      <w:pPr>
        <w:pStyle w:val="ATABody"/>
      </w:pPr>
      <w:r>
        <w:t xml:space="preserve">The following list provides indicators </w:t>
      </w:r>
      <w:r w:rsidR="00306311">
        <w:t>of</w:t>
      </w:r>
      <w:r>
        <w:t xml:space="preserve"> hostile surveillan</w:t>
      </w:r>
      <w:r w:rsidR="00306311">
        <w:t>ce activities for both people</w:t>
      </w:r>
      <w:r>
        <w:t xml:space="preserve"> and vehicles.</w:t>
      </w:r>
    </w:p>
    <w:p w14:paraId="059EE455" w14:textId="7CF410B8" w:rsidR="00565D41" w:rsidRPr="00FF4B47" w:rsidRDefault="00565D41" w:rsidP="00565D41">
      <w:pPr>
        <w:pStyle w:val="ATABody"/>
      </w:pPr>
      <w:r>
        <w:t xml:space="preserve"> </w:t>
      </w:r>
    </w:p>
    <w:tbl>
      <w:tblPr>
        <w:tblStyle w:val="TableGrid"/>
        <w:tblW w:w="0" w:type="auto"/>
        <w:tblLook w:val="04A0" w:firstRow="1" w:lastRow="0" w:firstColumn="1" w:lastColumn="0" w:noHBand="0" w:noVBand="1"/>
      </w:tblPr>
      <w:tblGrid>
        <w:gridCol w:w="9576"/>
      </w:tblGrid>
      <w:tr w:rsidR="00565D41" w:rsidRPr="00246CBD" w14:paraId="774E0C22" w14:textId="77777777" w:rsidTr="00C6443C">
        <w:trPr>
          <w:tblHeader/>
        </w:trPr>
        <w:tc>
          <w:tcPr>
            <w:tcW w:w="9576" w:type="dxa"/>
            <w:tcBorders>
              <w:top w:val="single" w:sz="4" w:space="0" w:color="000000" w:themeColor="text1"/>
            </w:tcBorders>
            <w:shd w:val="clear" w:color="auto" w:fill="D9D9D9" w:themeFill="background1" w:themeFillShade="D9"/>
          </w:tcPr>
          <w:p w14:paraId="4165BE9B" w14:textId="782F92EB" w:rsidR="00565D41" w:rsidRPr="00246CBD" w:rsidRDefault="00565D41" w:rsidP="00246CBD">
            <w:pPr>
              <w:pStyle w:val="ATATableHeading"/>
              <w:rPr>
                <w:b/>
              </w:rPr>
            </w:pPr>
            <w:r w:rsidRPr="00246CBD">
              <w:rPr>
                <w:b/>
              </w:rPr>
              <w:t>People (Hostile Surveillants</w:t>
            </w:r>
            <w:bookmarkStart w:id="0" w:name="_GoBack"/>
            <w:bookmarkEnd w:id="0"/>
            <w:r w:rsidRPr="00246CBD">
              <w:rPr>
                <w:b/>
              </w:rPr>
              <w:t>)</w:t>
            </w:r>
          </w:p>
        </w:tc>
      </w:tr>
      <w:tr w:rsidR="00565D41" w:rsidRPr="00115B84" w14:paraId="5E5FC93B" w14:textId="77777777" w:rsidTr="00C6443C">
        <w:tc>
          <w:tcPr>
            <w:tcW w:w="9576" w:type="dxa"/>
          </w:tcPr>
          <w:p w14:paraId="08346DAA" w14:textId="77777777" w:rsidR="00565D41" w:rsidRPr="00EF7A89" w:rsidRDefault="00565D41" w:rsidP="00246CBD">
            <w:pPr>
              <w:pStyle w:val="ATABulletLevel01BodySlide"/>
            </w:pPr>
            <w:r w:rsidRPr="00EF7A89">
              <w:t>Multiple sightings of the same suspicious person</w:t>
            </w:r>
            <w:r>
              <w:t xml:space="preserve"> </w:t>
            </w:r>
            <w:r w:rsidRPr="00EF7A89">
              <w:t>or activity, separated by time, distance, or direction</w:t>
            </w:r>
          </w:p>
        </w:tc>
      </w:tr>
      <w:tr w:rsidR="00565D41" w:rsidRPr="00115B84" w14:paraId="7226099B" w14:textId="77777777" w:rsidTr="00C6443C">
        <w:tc>
          <w:tcPr>
            <w:tcW w:w="9576" w:type="dxa"/>
          </w:tcPr>
          <w:p w14:paraId="1BB7B84C" w14:textId="77777777" w:rsidR="00565D41" w:rsidRPr="00EF7A89" w:rsidRDefault="00565D41" w:rsidP="00246CBD">
            <w:pPr>
              <w:pStyle w:val="ATABulletLevel01BodySlide"/>
            </w:pPr>
            <w:r w:rsidRPr="00EF7A89">
              <w:t>Individuals who do not fit into the surrounding environment because they are wearing improper attire for the location or season</w:t>
            </w:r>
          </w:p>
        </w:tc>
      </w:tr>
      <w:tr w:rsidR="00565D41" w:rsidRPr="00115B84" w14:paraId="43E8F071" w14:textId="77777777" w:rsidTr="00C6443C">
        <w:tc>
          <w:tcPr>
            <w:tcW w:w="9576" w:type="dxa"/>
          </w:tcPr>
          <w:p w14:paraId="384B82E2" w14:textId="77777777" w:rsidR="00565D41" w:rsidRPr="00EF7A89" w:rsidRDefault="00565D41" w:rsidP="00246CBD">
            <w:pPr>
              <w:pStyle w:val="ATABulletLevel01BodySlide"/>
            </w:pPr>
            <w:r w:rsidRPr="00EF7A89">
              <w:t>Persons seen in the same location on multiple occasions; persons sitting in a parked car for an extended time</w:t>
            </w:r>
          </w:p>
        </w:tc>
      </w:tr>
      <w:tr w:rsidR="00565D41" w:rsidRPr="00115B84" w14:paraId="3CA82A49" w14:textId="77777777" w:rsidTr="00C6443C">
        <w:tc>
          <w:tcPr>
            <w:tcW w:w="9576" w:type="dxa"/>
          </w:tcPr>
          <w:p w14:paraId="5A5CFECF" w14:textId="77777777" w:rsidR="00565D41" w:rsidRPr="00EF7A89" w:rsidRDefault="00565D41" w:rsidP="00246CBD">
            <w:pPr>
              <w:pStyle w:val="ATABulletLevel01BodySlide"/>
            </w:pPr>
            <w:r w:rsidRPr="00246CBD">
              <w:t>Persons exiting from vehicles in an abnormal manner</w:t>
            </w:r>
          </w:p>
        </w:tc>
      </w:tr>
      <w:tr w:rsidR="00565D41" w:rsidRPr="00115B84" w14:paraId="14E8F813" w14:textId="77777777" w:rsidTr="00C6443C">
        <w:tc>
          <w:tcPr>
            <w:tcW w:w="9576" w:type="dxa"/>
          </w:tcPr>
          <w:p w14:paraId="1A6AF941" w14:textId="1EE8392E" w:rsidR="00565D41" w:rsidRPr="00EF7A89" w:rsidRDefault="00565D41" w:rsidP="00246CBD">
            <w:pPr>
              <w:pStyle w:val="ATABulletLevel01BodySlide"/>
            </w:pPr>
            <w:r w:rsidRPr="00EF7A89">
              <w:t>Persons using possible ruses or disguises to cover their activities, such as a beggar, demonstrator, shoeshine vendor, street</w:t>
            </w:r>
            <w:r w:rsidR="00B0736B">
              <w:t xml:space="preserve"> </w:t>
            </w:r>
            <w:r w:rsidRPr="00EF7A89">
              <w:t>sweeper, or food, newspaper, or flower vendor not previously recognized in the area</w:t>
            </w:r>
          </w:p>
        </w:tc>
      </w:tr>
      <w:tr w:rsidR="00565D41" w:rsidRPr="00115B84" w14:paraId="32BC75B1" w14:textId="77777777" w:rsidTr="00C6443C">
        <w:tc>
          <w:tcPr>
            <w:tcW w:w="9576" w:type="dxa"/>
          </w:tcPr>
          <w:p w14:paraId="4881B2FD" w14:textId="77777777" w:rsidR="00565D41" w:rsidRPr="00EF7A89" w:rsidRDefault="00565D41" w:rsidP="00246CBD">
            <w:pPr>
              <w:pStyle w:val="ATABulletLevel01BodySlide"/>
            </w:pPr>
            <w:r>
              <w:t>Abnormal</w:t>
            </w:r>
            <w:r w:rsidRPr="00EF7A89">
              <w:t xml:space="preserve"> or prolonged interest in security measures, security personnel, entry points and access controls, or perimeter barriers such as fences or walls</w:t>
            </w:r>
          </w:p>
        </w:tc>
      </w:tr>
      <w:tr w:rsidR="00565D41" w:rsidRPr="00115B84" w14:paraId="1435510A" w14:textId="77777777" w:rsidTr="00C6443C">
        <w:tc>
          <w:tcPr>
            <w:tcW w:w="9576" w:type="dxa"/>
          </w:tcPr>
          <w:p w14:paraId="02FBE2B8" w14:textId="77777777" w:rsidR="00565D41" w:rsidRPr="00EF7A89" w:rsidRDefault="00565D41" w:rsidP="00246CBD">
            <w:pPr>
              <w:pStyle w:val="ATABulletLevel01BodySlide"/>
            </w:pPr>
            <w:r w:rsidRPr="00EF7A89">
              <w:t>An increase in anonymous threats followed by individuals noticeably observing security reaction drills or procedures; individual(s) questioning security or facility personnel</w:t>
            </w:r>
          </w:p>
        </w:tc>
      </w:tr>
      <w:tr w:rsidR="00565D41" w:rsidRPr="00115B84" w14:paraId="32EB6C91" w14:textId="77777777" w:rsidTr="00C6443C">
        <w:tc>
          <w:tcPr>
            <w:tcW w:w="9576" w:type="dxa"/>
          </w:tcPr>
          <w:p w14:paraId="5C7295D8" w14:textId="77777777" w:rsidR="00565D41" w:rsidRPr="00EF7A89" w:rsidRDefault="00565D41" w:rsidP="00246CBD">
            <w:pPr>
              <w:pStyle w:val="ATABulletLevel01BodySlide"/>
            </w:pPr>
            <w:r w:rsidRPr="00EF7A89">
              <w:t>Persons hesitating or looking around when entering a building</w:t>
            </w:r>
          </w:p>
        </w:tc>
      </w:tr>
      <w:tr w:rsidR="00565D41" w:rsidRPr="00115B84" w14:paraId="732E4CCC" w14:textId="77777777" w:rsidTr="00C6443C">
        <w:tc>
          <w:tcPr>
            <w:tcW w:w="9576" w:type="dxa"/>
          </w:tcPr>
          <w:p w14:paraId="0CB0BC23" w14:textId="4DE664DD" w:rsidR="00565D41" w:rsidRPr="00EF7A89" w:rsidRDefault="00565D41" w:rsidP="00246CBD">
            <w:pPr>
              <w:pStyle w:val="ATABulletLevel01BodySlide"/>
            </w:pPr>
            <w:r w:rsidRPr="00EF7A89">
              <w:t>Work crews (check vehicles, equipment, and clothing — especially footwear — for peculiarities); check with the appropriate agency to verify the legitimacy of the project</w:t>
            </w:r>
          </w:p>
        </w:tc>
      </w:tr>
      <w:tr w:rsidR="00565D41" w:rsidRPr="00115B84" w14:paraId="443F371A" w14:textId="77777777" w:rsidTr="00C6443C">
        <w:tc>
          <w:tcPr>
            <w:tcW w:w="9576" w:type="dxa"/>
          </w:tcPr>
          <w:p w14:paraId="52453641" w14:textId="1AB8533F" w:rsidR="00565D41" w:rsidRPr="00EF7A89" w:rsidRDefault="00565D41" w:rsidP="00246CBD">
            <w:pPr>
              <w:pStyle w:val="ATABulletLevel01BodySlide"/>
            </w:pPr>
            <w:r w:rsidRPr="00EF7A89">
              <w:t xml:space="preserve">Persons showing </w:t>
            </w:r>
            <w:r>
              <w:t>abnormal</w:t>
            </w:r>
            <w:r w:rsidRPr="00EF7A89">
              <w:t xml:space="preserve"> interest in or photographing security cameras, guard locations, or security reaction drills and procedures</w:t>
            </w:r>
          </w:p>
        </w:tc>
      </w:tr>
      <w:tr w:rsidR="00565D41" w:rsidRPr="00115B84" w14:paraId="3585428C" w14:textId="77777777" w:rsidTr="00C6443C">
        <w:tc>
          <w:tcPr>
            <w:tcW w:w="9576" w:type="dxa"/>
          </w:tcPr>
          <w:p w14:paraId="4831B1F8" w14:textId="77777777" w:rsidR="00565D41" w:rsidRPr="00EF7A89" w:rsidRDefault="00565D41" w:rsidP="00246CBD">
            <w:pPr>
              <w:pStyle w:val="ATABulletLevel01BodySlide"/>
            </w:pPr>
            <w:r w:rsidRPr="00EF7A89">
              <w:t>Individuals who carry on long conversations on pay or cellular telephones</w:t>
            </w:r>
          </w:p>
        </w:tc>
      </w:tr>
      <w:tr w:rsidR="00565D41" w:rsidRPr="00115B84" w14:paraId="480562B4" w14:textId="77777777" w:rsidTr="00C6443C">
        <w:trPr>
          <w:cantSplit/>
        </w:trPr>
        <w:tc>
          <w:tcPr>
            <w:tcW w:w="9576" w:type="dxa"/>
          </w:tcPr>
          <w:p w14:paraId="5456CB53" w14:textId="77777777" w:rsidR="00565D41" w:rsidRPr="00EF7A89" w:rsidRDefault="00565D41" w:rsidP="00246CBD">
            <w:pPr>
              <w:pStyle w:val="ATATableBody"/>
            </w:pPr>
            <w:r w:rsidRPr="00EF7A89">
              <w:lastRenderedPageBreak/>
              <w:t>Individuals who exhibit suspicious behavior, such as:</w:t>
            </w:r>
          </w:p>
          <w:p w14:paraId="20C32085" w14:textId="77777777" w:rsidR="00565D41" w:rsidRPr="00EF7A89" w:rsidRDefault="00565D41" w:rsidP="00246CBD">
            <w:pPr>
              <w:pStyle w:val="ATABulletLevel01BodySlide"/>
            </w:pPr>
            <w:r w:rsidRPr="00EF7A89">
              <w:t>Nervous behavior</w:t>
            </w:r>
          </w:p>
          <w:p w14:paraId="78C36155" w14:textId="77777777" w:rsidR="00565D41" w:rsidRPr="00EF7A89" w:rsidRDefault="00565D41" w:rsidP="00246CBD">
            <w:pPr>
              <w:pStyle w:val="ATABulletLevel01BodySlide"/>
            </w:pPr>
            <w:r w:rsidRPr="00EF7A89">
              <w:t xml:space="preserve">Drawing pictures or taking notes </w:t>
            </w:r>
          </w:p>
          <w:p w14:paraId="7A7A03F8" w14:textId="77777777" w:rsidR="00565D41" w:rsidRPr="00EF7A89" w:rsidRDefault="00565D41" w:rsidP="00246CBD">
            <w:pPr>
              <w:pStyle w:val="ATABulletLevel01BodySlide"/>
            </w:pPr>
            <w:r w:rsidRPr="00EF7A89">
              <w:t xml:space="preserve">Parking vehicles in prohibited zones </w:t>
            </w:r>
          </w:p>
          <w:p w14:paraId="35F7384E" w14:textId="77777777" w:rsidR="00565D41" w:rsidRPr="00EF7A89" w:rsidRDefault="00565D41" w:rsidP="00246CBD">
            <w:pPr>
              <w:pStyle w:val="ATABulletLevel01BodySlide"/>
            </w:pPr>
            <w:r w:rsidRPr="00EF7A89">
              <w:t xml:space="preserve">Turning away when observed </w:t>
            </w:r>
          </w:p>
          <w:p w14:paraId="6837E1E0" w14:textId="77777777" w:rsidR="00565D41" w:rsidRPr="00EF7A89" w:rsidRDefault="00565D41" w:rsidP="00246CBD">
            <w:pPr>
              <w:pStyle w:val="ATABulletLevel01BodySlide"/>
            </w:pPr>
            <w:r w:rsidRPr="00EF7A89">
              <w:t>Stopping abruptly and looking to the rear</w:t>
            </w:r>
          </w:p>
          <w:p w14:paraId="42E12A89" w14:textId="77777777" w:rsidR="00565D41" w:rsidRPr="00EF7A89" w:rsidRDefault="00565D41" w:rsidP="00246CBD">
            <w:pPr>
              <w:pStyle w:val="ATABulletLevel01BodySlide"/>
            </w:pPr>
            <w:r w:rsidRPr="00EF7A89">
              <w:t>Reversing course and retracing steps</w:t>
            </w:r>
          </w:p>
          <w:p w14:paraId="5329B3A4" w14:textId="77777777" w:rsidR="00565D41" w:rsidRPr="00EF7A89" w:rsidRDefault="00565D41" w:rsidP="00246CBD">
            <w:pPr>
              <w:pStyle w:val="ATABulletLevel01BodySlide"/>
            </w:pPr>
            <w:r w:rsidRPr="00EF7A89">
              <w:t>Stopping abruptly after turning a corner</w:t>
            </w:r>
          </w:p>
          <w:p w14:paraId="01DD8DAC" w14:textId="77777777" w:rsidR="00565D41" w:rsidRPr="00EF7A89" w:rsidRDefault="00565D41" w:rsidP="00246CBD">
            <w:pPr>
              <w:pStyle w:val="ATABulletLevel01BodySlide"/>
            </w:pPr>
            <w:r w:rsidRPr="00EF7A89">
              <w:t>Watching reflections in shop windows</w:t>
            </w:r>
          </w:p>
          <w:p w14:paraId="2B90B2F6" w14:textId="488476CF" w:rsidR="00565D41" w:rsidRPr="00EF7A89" w:rsidRDefault="00565D41" w:rsidP="00246CBD">
            <w:pPr>
              <w:pStyle w:val="ATABulletLevel01BodySlide"/>
            </w:pPr>
            <w:r w:rsidRPr="00EF7A89">
              <w:t xml:space="preserve">Stopping to tie a shoestring and looking behind </w:t>
            </w:r>
            <w:r w:rsidR="00AB1F2F">
              <w:t>them</w:t>
            </w:r>
          </w:p>
          <w:p w14:paraId="692E590A" w14:textId="77777777" w:rsidR="00565D41" w:rsidRPr="00EF7A89" w:rsidRDefault="00565D41" w:rsidP="00246CBD">
            <w:pPr>
              <w:pStyle w:val="ATABulletLevel01BodySlide"/>
            </w:pPr>
            <w:r w:rsidRPr="00EF7A89">
              <w:t>Jumping off a bus or subway just as doors are about to close</w:t>
            </w:r>
          </w:p>
          <w:p w14:paraId="321AC507" w14:textId="77777777" w:rsidR="00565D41" w:rsidRPr="00115B84" w:rsidRDefault="00565D41" w:rsidP="00246CBD">
            <w:pPr>
              <w:pStyle w:val="ATABulletLevel01BodySlide"/>
              <w:rPr>
                <w:rFonts w:asciiTheme="majorHAnsi" w:hAnsiTheme="majorHAnsi"/>
              </w:rPr>
            </w:pPr>
            <w:r w:rsidRPr="00EF7A89">
              <w:t>Entering a building and leaving immediately via another exit</w:t>
            </w:r>
          </w:p>
        </w:tc>
      </w:tr>
    </w:tbl>
    <w:p w14:paraId="11A85FF8" w14:textId="77777777" w:rsidR="00565D41" w:rsidRDefault="00565D41" w:rsidP="00565D41"/>
    <w:tbl>
      <w:tblPr>
        <w:tblStyle w:val="TableGrid"/>
        <w:tblW w:w="0" w:type="auto"/>
        <w:tblLook w:val="04A0" w:firstRow="1" w:lastRow="0" w:firstColumn="1" w:lastColumn="0" w:noHBand="0" w:noVBand="1"/>
      </w:tblPr>
      <w:tblGrid>
        <w:gridCol w:w="9576"/>
      </w:tblGrid>
      <w:tr w:rsidR="00565D41" w:rsidRPr="00246CBD" w14:paraId="730CA88C" w14:textId="77777777" w:rsidTr="00C6443C">
        <w:tc>
          <w:tcPr>
            <w:tcW w:w="9576" w:type="dxa"/>
            <w:shd w:val="clear" w:color="auto" w:fill="D9D9D9" w:themeFill="background1" w:themeFillShade="D9"/>
          </w:tcPr>
          <w:p w14:paraId="03767900" w14:textId="77777777" w:rsidR="00565D41" w:rsidRPr="00246CBD" w:rsidRDefault="00565D41" w:rsidP="00246CBD">
            <w:pPr>
              <w:pStyle w:val="ATATableHeading"/>
              <w:rPr>
                <w:b/>
              </w:rPr>
            </w:pPr>
            <w:r w:rsidRPr="00246CBD">
              <w:rPr>
                <w:b/>
              </w:rPr>
              <w:t>Vehicles</w:t>
            </w:r>
          </w:p>
        </w:tc>
      </w:tr>
      <w:tr w:rsidR="00565D41" w:rsidRPr="00115B84" w14:paraId="067350A2" w14:textId="77777777" w:rsidTr="00C6443C">
        <w:tc>
          <w:tcPr>
            <w:tcW w:w="9576" w:type="dxa"/>
          </w:tcPr>
          <w:p w14:paraId="47AB01DD" w14:textId="77777777" w:rsidR="00565D41" w:rsidRPr="00115B84" w:rsidRDefault="00565D41" w:rsidP="00246CBD">
            <w:pPr>
              <w:pStyle w:val="ATABulletLevel01BodySlide"/>
              <w:rPr>
                <w:rFonts w:asciiTheme="majorHAnsi" w:hAnsiTheme="majorHAnsi"/>
              </w:rPr>
            </w:pPr>
            <w:r w:rsidRPr="00EF7A89">
              <w:t>Multiple sightings of the same suspicious vehicle separated by time, distance, or direction</w:t>
            </w:r>
          </w:p>
        </w:tc>
      </w:tr>
      <w:tr w:rsidR="00565D41" w:rsidRPr="00115B84" w14:paraId="569A318F" w14:textId="77777777" w:rsidTr="00C6443C">
        <w:tc>
          <w:tcPr>
            <w:tcW w:w="9576" w:type="dxa"/>
          </w:tcPr>
          <w:p w14:paraId="10E9060F" w14:textId="77777777" w:rsidR="00565D41" w:rsidRPr="00115B84" w:rsidRDefault="00565D41" w:rsidP="00246CBD">
            <w:pPr>
              <w:pStyle w:val="ATABulletLevel01BodySlide"/>
              <w:rPr>
                <w:rFonts w:asciiTheme="majorHAnsi" w:hAnsiTheme="majorHAnsi"/>
              </w:rPr>
            </w:pPr>
            <w:r>
              <w:t>V</w:t>
            </w:r>
            <w:r w:rsidRPr="00EF7A89">
              <w:t>ehicles seen in the same location on multiple occasions; persons sitting in a parked car for an extended time</w:t>
            </w:r>
          </w:p>
        </w:tc>
      </w:tr>
      <w:tr w:rsidR="00565D41" w:rsidRPr="00115B84" w14:paraId="720A33AE" w14:textId="77777777" w:rsidTr="00C6443C">
        <w:tc>
          <w:tcPr>
            <w:tcW w:w="9576" w:type="dxa"/>
          </w:tcPr>
          <w:p w14:paraId="746C190E" w14:textId="77777777" w:rsidR="00565D41" w:rsidRPr="00115B84" w:rsidRDefault="00565D41" w:rsidP="00246CBD">
            <w:pPr>
              <w:pStyle w:val="ATABulletLevel01BodySlide"/>
              <w:rPr>
                <w:rFonts w:asciiTheme="majorHAnsi" w:hAnsiTheme="majorHAnsi"/>
              </w:rPr>
            </w:pPr>
            <w:r w:rsidRPr="00115B84">
              <w:rPr>
                <w:rFonts w:asciiTheme="majorHAnsi" w:hAnsiTheme="majorHAnsi"/>
              </w:rPr>
              <w:t>Vehicles parked in prohibited zones</w:t>
            </w:r>
          </w:p>
        </w:tc>
      </w:tr>
      <w:tr w:rsidR="00565D41" w:rsidRPr="00115B84" w14:paraId="63062F0C" w14:textId="77777777" w:rsidTr="00C6443C">
        <w:tc>
          <w:tcPr>
            <w:tcW w:w="9576" w:type="dxa"/>
          </w:tcPr>
          <w:p w14:paraId="0C6D9552" w14:textId="77777777" w:rsidR="00565D41" w:rsidRPr="00115B84" w:rsidRDefault="00565D41" w:rsidP="00246CBD">
            <w:pPr>
              <w:pStyle w:val="ATABulletLevel01BodySlide"/>
              <w:rPr>
                <w:rFonts w:asciiTheme="majorHAnsi" w:hAnsiTheme="majorHAnsi"/>
              </w:rPr>
            </w:pPr>
            <w:r w:rsidRPr="00115B84">
              <w:rPr>
                <w:rFonts w:asciiTheme="majorHAnsi" w:hAnsiTheme="majorHAnsi"/>
              </w:rPr>
              <w:t>Vehicles driving inconsistently with traffic flow, making erratic moves, or abrupt stops</w:t>
            </w:r>
          </w:p>
        </w:tc>
      </w:tr>
      <w:tr w:rsidR="00565D41" w:rsidRPr="00115B84" w14:paraId="00532BC7" w14:textId="77777777" w:rsidTr="00C6443C">
        <w:tc>
          <w:tcPr>
            <w:tcW w:w="9576" w:type="dxa"/>
          </w:tcPr>
          <w:p w14:paraId="7F47CB67" w14:textId="77777777" w:rsidR="00565D41" w:rsidRPr="00115B84" w:rsidRDefault="00565D41" w:rsidP="00246CBD">
            <w:pPr>
              <w:pStyle w:val="ATABulletLevel01BodySlide"/>
              <w:rPr>
                <w:rFonts w:asciiTheme="majorHAnsi" w:hAnsiTheme="majorHAnsi"/>
              </w:rPr>
            </w:pPr>
            <w:r w:rsidRPr="00115B84">
              <w:rPr>
                <w:rFonts w:asciiTheme="majorHAnsi" w:hAnsiTheme="majorHAnsi"/>
              </w:rPr>
              <w:t>Irregular communication or signaling between persons or vehicles</w:t>
            </w:r>
          </w:p>
        </w:tc>
      </w:tr>
      <w:tr w:rsidR="00565D41" w:rsidRPr="00115B84" w14:paraId="05BFB2BF" w14:textId="77777777" w:rsidTr="00C6443C">
        <w:tc>
          <w:tcPr>
            <w:tcW w:w="9576" w:type="dxa"/>
          </w:tcPr>
          <w:p w14:paraId="11C3206D" w14:textId="77777777" w:rsidR="00565D41" w:rsidRPr="00115B84" w:rsidRDefault="00565D41" w:rsidP="00246CBD">
            <w:pPr>
              <w:pStyle w:val="ATABulletLevel01BodySlide"/>
              <w:rPr>
                <w:rFonts w:asciiTheme="majorHAnsi" w:hAnsiTheme="majorHAnsi"/>
              </w:rPr>
            </w:pPr>
            <w:r w:rsidRPr="00115B84">
              <w:rPr>
                <w:rFonts w:asciiTheme="majorHAnsi" w:hAnsiTheme="majorHAnsi"/>
              </w:rPr>
              <w:t>Unprofessional shift changes (one vehicle arriving, another departing, possible communication between drivers)</w:t>
            </w:r>
          </w:p>
        </w:tc>
      </w:tr>
      <w:tr w:rsidR="00565D41" w:rsidRPr="00115B84" w14:paraId="70F2DEE3" w14:textId="77777777" w:rsidTr="00C6443C">
        <w:tc>
          <w:tcPr>
            <w:tcW w:w="9576" w:type="dxa"/>
          </w:tcPr>
          <w:p w14:paraId="2638ED43" w14:textId="77777777" w:rsidR="00565D41" w:rsidRPr="00115B84" w:rsidRDefault="00565D41" w:rsidP="00246CBD">
            <w:pPr>
              <w:pStyle w:val="ATABulletLevel01BodySlide"/>
              <w:rPr>
                <w:rFonts w:asciiTheme="majorHAnsi" w:hAnsiTheme="majorHAnsi"/>
              </w:rPr>
            </w:pPr>
            <w:r w:rsidRPr="00115B84">
              <w:rPr>
                <w:rFonts w:asciiTheme="majorHAnsi" w:hAnsiTheme="majorHAnsi"/>
              </w:rPr>
              <w:t xml:space="preserve">Persons exiting from vehicles in an </w:t>
            </w:r>
            <w:r>
              <w:rPr>
                <w:rFonts w:asciiTheme="majorHAnsi" w:hAnsiTheme="majorHAnsi"/>
              </w:rPr>
              <w:t>abnormal</w:t>
            </w:r>
            <w:r w:rsidRPr="00115B84">
              <w:rPr>
                <w:rFonts w:asciiTheme="majorHAnsi" w:hAnsiTheme="majorHAnsi"/>
              </w:rPr>
              <w:t xml:space="preserve"> manner </w:t>
            </w:r>
          </w:p>
        </w:tc>
      </w:tr>
      <w:tr w:rsidR="00565D41" w:rsidRPr="00115B84" w14:paraId="122A4DBC" w14:textId="77777777" w:rsidTr="00C6443C">
        <w:tc>
          <w:tcPr>
            <w:tcW w:w="9576" w:type="dxa"/>
          </w:tcPr>
          <w:p w14:paraId="305D9BAF" w14:textId="77777777" w:rsidR="00565D41" w:rsidRPr="00115B84" w:rsidRDefault="00565D41" w:rsidP="00246CBD">
            <w:pPr>
              <w:pStyle w:val="ATABulletLevel01BodySlide"/>
              <w:rPr>
                <w:rFonts w:asciiTheme="majorHAnsi" w:hAnsiTheme="majorHAnsi"/>
              </w:rPr>
            </w:pPr>
            <w:r w:rsidRPr="00115B84">
              <w:rPr>
                <w:rFonts w:asciiTheme="majorHAnsi" w:hAnsiTheme="majorHAnsi"/>
              </w:rPr>
              <w:t>Any vehicle with an altered or obstructed license plate</w:t>
            </w:r>
          </w:p>
        </w:tc>
      </w:tr>
      <w:tr w:rsidR="00565D41" w:rsidRPr="00115B84" w14:paraId="7EEFEA46" w14:textId="77777777" w:rsidTr="00C6443C">
        <w:tc>
          <w:tcPr>
            <w:tcW w:w="9576" w:type="dxa"/>
          </w:tcPr>
          <w:p w14:paraId="7BF4F1DF" w14:textId="77777777" w:rsidR="00565D41" w:rsidRPr="00115B84" w:rsidRDefault="00565D41" w:rsidP="00246CBD">
            <w:pPr>
              <w:pStyle w:val="ATABulletLevel01BodySlide"/>
              <w:rPr>
                <w:rFonts w:asciiTheme="majorHAnsi" w:hAnsiTheme="majorHAnsi"/>
              </w:rPr>
            </w:pPr>
            <w:r w:rsidRPr="00115B84">
              <w:rPr>
                <w:rFonts w:asciiTheme="majorHAnsi" w:hAnsiTheme="majorHAnsi"/>
              </w:rPr>
              <w:t>Broken</w:t>
            </w:r>
            <w:r>
              <w:rPr>
                <w:rFonts w:asciiTheme="majorHAnsi" w:hAnsiTheme="majorHAnsi"/>
              </w:rPr>
              <w:t>-</w:t>
            </w:r>
            <w:r w:rsidRPr="00115B84">
              <w:rPr>
                <w:rFonts w:asciiTheme="majorHAnsi" w:hAnsiTheme="majorHAnsi"/>
              </w:rPr>
              <w:t>down vehicles</w:t>
            </w:r>
          </w:p>
        </w:tc>
      </w:tr>
    </w:tbl>
    <w:p w14:paraId="54FB7FC8" w14:textId="77777777" w:rsidR="00565D41" w:rsidRPr="00157B1E" w:rsidRDefault="00565D41" w:rsidP="00565D41">
      <w:pPr>
        <w:rPr>
          <w:rFonts w:asciiTheme="majorHAnsi" w:hAnsiTheme="majorHAnsi" w:cs="Arial"/>
        </w:rPr>
      </w:pPr>
    </w:p>
    <w:p w14:paraId="7F9379EF" w14:textId="77777777" w:rsidR="00E31DA1" w:rsidRDefault="00E31DA1" w:rsidP="00565D41">
      <w:pPr>
        <w:pStyle w:val="ATAHeadingLevel1"/>
      </w:pPr>
    </w:p>
    <w:sectPr w:rsidR="00E31DA1" w:rsidSect="00D17B4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E6ABD" w14:textId="77777777" w:rsidR="0094767A" w:rsidRDefault="0094767A" w:rsidP="00C82114">
      <w:r>
        <w:separator/>
      </w:r>
    </w:p>
  </w:endnote>
  <w:endnote w:type="continuationSeparator" w:id="0">
    <w:p w14:paraId="275C61CC" w14:textId="77777777" w:rsidR="0094767A" w:rsidRDefault="0094767A"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C305B2" w:rsidRPr="00A56C2F" w14:paraId="7F9379FC" w14:textId="77777777" w:rsidTr="00F16863">
      <w:tc>
        <w:tcPr>
          <w:tcW w:w="8100" w:type="dxa"/>
          <w:shd w:val="clear" w:color="auto" w:fill="auto"/>
        </w:tcPr>
        <w:p w14:paraId="7F9379FA" w14:textId="4B6EF12E" w:rsidR="00C305B2" w:rsidRPr="008B2B7F" w:rsidRDefault="007401B9" w:rsidP="00565D41">
          <w:pPr>
            <w:pStyle w:val="ATAFooter"/>
            <w:rPr>
              <w:rStyle w:val="ATAFooterChar"/>
              <w:rFonts w:eastAsia="Arial Unicode MS"/>
              <w:color w:val="000000" w:themeColor="text1"/>
            </w:rPr>
          </w:pPr>
          <w:sdt>
            <w:sdtPr>
              <w:rPr>
                <w:rFonts w:cs="Arial"/>
                <w:color w:val="000000" w:themeColor="text1"/>
                <w:szCs w:val="18"/>
              </w:rPr>
              <w:alias w:val="Subject"/>
              <w:tag w:val=""/>
              <w:id w:val="-1847091666"/>
              <w:placeholder>
                <w:docPart w:val="B97551F226B045D8B18B5B3F1A4AC149"/>
              </w:placeholder>
              <w:dataBinding w:prefixMappings="xmlns:ns0='http://purl.org/dc/elements/1.1/' xmlns:ns1='http://schemas.openxmlformats.org/package/2006/metadata/core-properties' " w:xpath="/ns1:coreProperties[1]/ns0:subject[1]" w:storeItemID="{6C3C8BC8-F283-45AE-878A-BAB7291924A1}"/>
              <w:text/>
            </w:sdtPr>
            <w:sdtEndPr/>
            <w:sdtContent>
              <w:r w:rsidR="005D00C8">
                <w:rPr>
                  <w:rFonts w:cs="Arial"/>
                  <w:color w:val="000000" w:themeColor="text1"/>
                  <w:szCs w:val="18"/>
                </w:rPr>
                <w:t>Critical Infrastructure Security and Resilience (CISR)</w:t>
              </w:r>
              <w:r w:rsidR="00565D41">
                <w:rPr>
                  <w:rFonts w:cs="Arial"/>
                  <w:color w:val="000000" w:themeColor="text1"/>
                  <w:szCs w:val="18"/>
                </w:rPr>
                <w:t xml:space="preserve"> </w:t>
              </w:r>
            </w:sdtContent>
          </w:sdt>
          <w:r w:rsidR="00C305B2" w:rsidRPr="008B2B7F">
            <w:rPr>
              <w:rStyle w:val="PlaceholderText"/>
              <w:rFonts w:cs="Arial"/>
              <w:color w:val="000000" w:themeColor="text1"/>
              <w:szCs w:val="18"/>
            </w:rPr>
            <w:t>v</w:t>
          </w:r>
          <w:r w:rsidR="00565D41">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7F9379FB"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7401B9">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7401B9">
            <w:rPr>
              <w:rStyle w:val="ATAFooterChar"/>
              <w:rFonts w:eastAsia="Arial Unicode MS"/>
              <w:noProof/>
            </w:rPr>
            <w:t>2</w:t>
          </w:r>
          <w:r w:rsidRPr="00F16863">
            <w:rPr>
              <w:rStyle w:val="ATAFooterChar"/>
              <w:rFonts w:eastAsia="Arial Unicode MS"/>
            </w:rPr>
            <w:fldChar w:fldCharType="end"/>
          </w:r>
        </w:p>
      </w:tc>
    </w:tr>
  </w:tbl>
  <w:p w14:paraId="7F9379FD"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D6989" w14:textId="77777777" w:rsidR="0094767A" w:rsidRDefault="0094767A" w:rsidP="00C82114">
      <w:r>
        <w:separator/>
      </w:r>
    </w:p>
  </w:footnote>
  <w:footnote w:type="continuationSeparator" w:id="0">
    <w:p w14:paraId="50B90C19" w14:textId="77777777" w:rsidR="0094767A" w:rsidRDefault="0094767A"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0"/>
      <w:gridCol w:w="4680"/>
    </w:tblGrid>
    <w:tr w:rsidR="008564F0" w:rsidRPr="00456B51" w14:paraId="7F9379F8" w14:textId="77777777" w:rsidTr="00F16863">
      <w:tc>
        <w:tcPr>
          <w:tcW w:w="4788" w:type="dxa"/>
          <w:shd w:val="clear" w:color="auto" w:fill="auto"/>
          <w:vAlign w:val="bottom"/>
        </w:tcPr>
        <w:sdt>
          <w:sdtPr>
            <w:rPr>
              <w:rFonts w:cs="Arial"/>
            </w:rPr>
            <w:alias w:val="Title"/>
            <w:tag w:val=""/>
            <w:id w:val="424539557"/>
            <w:placeholder>
              <w:docPart w:val="191E1BAE9F4A43A69E89A4F7A9F7B568"/>
            </w:placeholder>
            <w:dataBinding w:prefixMappings="xmlns:ns0='http://purl.org/dc/elements/1.1/' xmlns:ns1='http://schemas.openxmlformats.org/package/2006/metadata/core-properties' " w:xpath="/ns1:coreProperties[1]/ns0:title[1]" w:storeItemID="{6C3C8BC8-F283-45AE-878A-BAB7291924A1}"/>
            <w:text/>
          </w:sdtPr>
          <w:sdtEndPr/>
          <w:sdtContent>
            <w:p w14:paraId="7F9379F6" w14:textId="23F46F61" w:rsidR="008564F0" w:rsidRPr="00456B51" w:rsidRDefault="00CE5B91" w:rsidP="00C305B2">
              <w:pPr>
                <w:pStyle w:val="ATAHeader"/>
              </w:pPr>
              <w:r>
                <w:rPr>
                  <w:rFonts w:cs="Arial"/>
                </w:rPr>
                <w:t>Module 8: Surveillance Awareness: What You Can Do</w:t>
              </w:r>
            </w:p>
          </w:sdtContent>
        </w:sdt>
      </w:tc>
      <w:tc>
        <w:tcPr>
          <w:tcW w:w="4788" w:type="dxa"/>
          <w:shd w:val="clear" w:color="auto" w:fill="auto"/>
          <w:vAlign w:val="bottom"/>
        </w:tcPr>
        <w:sdt>
          <w:sdtPr>
            <w:alias w:val="Category"/>
            <w:tag w:val=""/>
            <w:id w:val="757181977"/>
            <w:placeholder>
              <w:docPart w:val="A3D18325DA2044A7B9C9D6E0202ADB5F"/>
            </w:placeholder>
            <w:dataBinding w:prefixMappings="xmlns:ns0='http://purl.org/dc/elements/1.1/' xmlns:ns1='http://schemas.openxmlformats.org/package/2006/metadata/core-properties' " w:xpath="/ns1:coreProperties[1]/ns1:category[1]" w:storeItemID="{6C3C8BC8-F283-45AE-878A-BAB7291924A1}"/>
            <w:text/>
          </w:sdtPr>
          <w:sdtEndPr/>
          <w:sdtContent>
            <w:p w14:paraId="7F9379F7" w14:textId="641E26DC" w:rsidR="008564F0" w:rsidRPr="00456B51" w:rsidRDefault="007401B9" w:rsidP="007401B9">
              <w:pPr>
                <w:pStyle w:val="ATAHeader"/>
                <w:jc w:val="right"/>
              </w:pPr>
              <w:r>
                <w:t>Workbook</w:t>
              </w:r>
              <w:r w:rsidR="003204FE">
                <w:t xml:space="preserve"> 8.2: Indicators of Hostile Surveillance Activities</w:t>
              </w:r>
            </w:p>
          </w:sdtContent>
        </w:sdt>
      </w:tc>
    </w:tr>
  </w:tbl>
  <w:p w14:paraId="7F9379F9" w14:textId="77777777" w:rsidR="008564F0" w:rsidRPr="00456B51" w:rsidRDefault="008564F0" w:rsidP="00264A72">
    <w:pPr>
      <w:pStyle w:val="ATA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14"/>
  </w:num>
  <w:num w:numId="4">
    <w:abstractNumId w:val="6"/>
  </w:num>
  <w:num w:numId="5">
    <w:abstractNumId w:val="3"/>
  </w:num>
  <w:num w:numId="6">
    <w:abstractNumId w:val="8"/>
  </w:num>
  <w:num w:numId="7">
    <w:abstractNumId w:val="7"/>
  </w:num>
  <w:num w:numId="8">
    <w:abstractNumId w:val="4"/>
  </w:num>
  <w:num w:numId="9">
    <w:abstractNumId w:val="0"/>
  </w:num>
  <w:num w:numId="10">
    <w:abstractNumId w:val="13"/>
  </w:num>
  <w:num w:numId="11">
    <w:abstractNumId w:val="14"/>
  </w:num>
  <w:num w:numId="12">
    <w:abstractNumId w:val="14"/>
  </w:num>
  <w:num w:numId="13">
    <w:abstractNumId w:val="9"/>
  </w:num>
  <w:num w:numId="14">
    <w:abstractNumId w:val="17"/>
  </w:num>
  <w:num w:numId="15">
    <w:abstractNumId w:val="10"/>
  </w:num>
  <w:num w:numId="16">
    <w:abstractNumId w:val="18"/>
  </w:num>
  <w:num w:numId="17">
    <w:abstractNumId w:val="18"/>
    <w:lvlOverride w:ilvl="0">
      <w:startOverride w:val="1"/>
    </w:lvlOverride>
  </w:num>
  <w:num w:numId="18">
    <w:abstractNumId w:val="17"/>
  </w:num>
  <w:num w:numId="19">
    <w:abstractNumId w:val="2"/>
  </w:num>
  <w:num w:numId="20">
    <w:abstractNumId w:val="18"/>
  </w:num>
  <w:num w:numId="21">
    <w:abstractNumId w:val="1"/>
  </w:num>
  <w:num w:numId="22">
    <w:abstractNumId w:val="12"/>
  </w:num>
  <w:num w:numId="23">
    <w:abstractNumId w:val="15"/>
  </w:num>
  <w:num w:numId="24">
    <w:abstractNumId w:val="11"/>
  </w:num>
  <w:num w:numId="2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662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5C4"/>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2034"/>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AA5"/>
    <w:rsid w:val="000D4E8E"/>
    <w:rsid w:val="000D6923"/>
    <w:rsid w:val="000E053F"/>
    <w:rsid w:val="000E50CD"/>
    <w:rsid w:val="000F784C"/>
    <w:rsid w:val="001042E5"/>
    <w:rsid w:val="001063E0"/>
    <w:rsid w:val="00107CD9"/>
    <w:rsid w:val="0011397E"/>
    <w:rsid w:val="001142A3"/>
    <w:rsid w:val="00117566"/>
    <w:rsid w:val="001211DF"/>
    <w:rsid w:val="0012472D"/>
    <w:rsid w:val="00124ABF"/>
    <w:rsid w:val="00124F0D"/>
    <w:rsid w:val="001259FD"/>
    <w:rsid w:val="0013230A"/>
    <w:rsid w:val="00132CA1"/>
    <w:rsid w:val="00134898"/>
    <w:rsid w:val="00140812"/>
    <w:rsid w:val="00142254"/>
    <w:rsid w:val="00143EDD"/>
    <w:rsid w:val="001449E0"/>
    <w:rsid w:val="00145378"/>
    <w:rsid w:val="00146548"/>
    <w:rsid w:val="0014669F"/>
    <w:rsid w:val="001473D0"/>
    <w:rsid w:val="00151B4C"/>
    <w:rsid w:val="001520A9"/>
    <w:rsid w:val="001538CC"/>
    <w:rsid w:val="0015399B"/>
    <w:rsid w:val="0015480C"/>
    <w:rsid w:val="00155C46"/>
    <w:rsid w:val="001577BB"/>
    <w:rsid w:val="00157B1E"/>
    <w:rsid w:val="001601EF"/>
    <w:rsid w:val="00163B76"/>
    <w:rsid w:val="0016636E"/>
    <w:rsid w:val="00166677"/>
    <w:rsid w:val="00172713"/>
    <w:rsid w:val="00172F2E"/>
    <w:rsid w:val="0017472B"/>
    <w:rsid w:val="0017688C"/>
    <w:rsid w:val="001779F0"/>
    <w:rsid w:val="00182D9D"/>
    <w:rsid w:val="0018406E"/>
    <w:rsid w:val="00184648"/>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32F7"/>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7D4A"/>
    <w:rsid w:val="00243817"/>
    <w:rsid w:val="00244F52"/>
    <w:rsid w:val="002469C9"/>
    <w:rsid w:val="00246CBD"/>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580"/>
    <w:rsid w:val="002859E3"/>
    <w:rsid w:val="00285CC0"/>
    <w:rsid w:val="00291A04"/>
    <w:rsid w:val="0029575D"/>
    <w:rsid w:val="00296513"/>
    <w:rsid w:val="00296BBB"/>
    <w:rsid w:val="002A0962"/>
    <w:rsid w:val="002A1B61"/>
    <w:rsid w:val="002A2685"/>
    <w:rsid w:val="002A4028"/>
    <w:rsid w:val="002A7E7C"/>
    <w:rsid w:val="002B07F0"/>
    <w:rsid w:val="002B17F0"/>
    <w:rsid w:val="002B3A35"/>
    <w:rsid w:val="002B3D5A"/>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19E9"/>
    <w:rsid w:val="00302ACC"/>
    <w:rsid w:val="00303B04"/>
    <w:rsid w:val="00306311"/>
    <w:rsid w:val="00311AB8"/>
    <w:rsid w:val="00312331"/>
    <w:rsid w:val="0031631B"/>
    <w:rsid w:val="003204FE"/>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5CE7"/>
    <w:rsid w:val="003822F0"/>
    <w:rsid w:val="00384DB7"/>
    <w:rsid w:val="00385980"/>
    <w:rsid w:val="00385B8F"/>
    <w:rsid w:val="00390366"/>
    <w:rsid w:val="003A0135"/>
    <w:rsid w:val="003A46E2"/>
    <w:rsid w:val="003B2C3F"/>
    <w:rsid w:val="003B5891"/>
    <w:rsid w:val="003B7B4D"/>
    <w:rsid w:val="003C1E33"/>
    <w:rsid w:val="003C225C"/>
    <w:rsid w:val="003C2412"/>
    <w:rsid w:val="003C4674"/>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0739D"/>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57F5"/>
    <w:rsid w:val="0044155E"/>
    <w:rsid w:val="00443DF9"/>
    <w:rsid w:val="0044446B"/>
    <w:rsid w:val="00445174"/>
    <w:rsid w:val="00445E76"/>
    <w:rsid w:val="00445E9B"/>
    <w:rsid w:val="0045190F"/>
    <w:rsid w:val="0045386D"/>
    <w:rsid w:val="00456B51"/>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42D9"/>
    <w:rsid w:val="005259CD"/>
    <w:rsid w:val="00530BE7"/>
    <w:rsid w:val="0053273C"/>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5D41"/>
    <w:rsid w:val="00567D7F"/>
    <w:rsid w:val="005729A2"/>
    <w:rsid w:val="00574575"/>
    <w:rsid w:val="00584385"/>
    <w:rsid w:val="00584D69"/>
    <w:rsid w:val="0058573F"/>
    <w:rsid w:val="0058763F"/>
    <w:rsid w:val="005904E9"/>
    <w:rsid w:val="00592107"/>
    <w:rsid w:val="0059327E"/>
    <w:rsid w:val="00595179"/>
    <w:rsid w:val="005A2991"/>
    <w:rsid w:val="005A3490"/>
    <w:rsid w:val="005A4A1F"/>
    <w:rsid w:val="005B1929"/>
    <w:rsid w:val="005B2623"/>
    <w:rsid w:val="005B4D6D"/>
    <w:rsid w:val="005B7661"/>
    <w:rsid w:val="005C0148"/>
    <w:rsid w:val="005C152A"/>
    <w:rsid w:val="005C1CF8"/>
    <w:rsid w:val="005C1E68"/>
    <w:rsid w:val="005C294E"/>
    <w:rsid w:val="005C4420"/>
    <w:rsid w:val="005C699A"/>
    <w:rsid w:val="005D00C8"/>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E79"/>
    <w:rsid w:val="00681EF7"/>
    <w:rsid w:val="006827E9"/>
    <w:rsid w:val="00684B5C"/>
    <w:rsid w:val="0068542B"/>
    <w:rsid w:val="00696706"/>
    <w:rsid w:val="0069709B"/>
    <w:rsid w:val="006A06BB"/>
    <w:rsid w:val="006A2C2C"/>
    <w:rsid w:val="006A2EE6"/>
    <w:rsid w:val="006A3552"/>
    <w:rsid w:val="006A497F"/>
    <w:rsid w:val="006A6D39"/>
    <w:rsid w:val="006A6F1D"/>
    <w:rsid w:val="006A7594"/>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707C56"/>
    <w:rsid w:val="00710B1A"/>
    <w:rsid w:val="007119DA"/>
    <w:rsid w:val="00712CD1"/>
    <w:rsid w:val="00714CEE"/>
    <w:rsid w:val="00723FB3"/>
    <w:rsid w:val="007245BF"/>
    <w:rsid w:val="00727299"/>
    <w:rsid w:val="00727449"/>
    <w:rsid w:val="00727944"/>
    <w:rsid w:val="00732EF9"/>
    <w:rsid w:val="00734DBF"/>
    <w:rsid w:val="0073582A"/>
    <w:rsid w:val="00737862"/>
    <w:rsid w:val="007401B9"/>
    <w:rsid w:val="00746E69"/>
    <w:rsid w:val="007503B2"/>
    <w:rsid w:val="007509EF"/>
    <w:rsid w:val="00753991"/>
    <w:rsid w:val="0075484B"/>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7234"/>
    <w:rsid w:val="00801D86"/>
    <w:rsid w:val="00802ABE"/>
    <w:rsid w:val="008036F2"/>
    <w:rsid w:val="008041F7"/>
    <w:rsid w:val="008050B5"/>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8F6238"/>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4767A"/>
    <w:rsid w:val="00950AE0"/>
    <w:rsid w:val="0095259E"/>
    <w:rsid w:val="009550E2"/>
    <w:rsid w:val="00955C05"/>
    <w:rsid w:val="00957E6A"/>
    <w:rsid w:val="0096012F"/>
    <w:rsid w:val="00960536"/>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A8A"/>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1F2F"/>
    <w:rsid w:val="00AB24FA"/>
    <w:rsid w:val="00AB2D94"/>
    <w:rsid w:val="00AB5D90"/>
    <w:rsid w:val="00AC20B1"/>
    <w:rsid w:val="00AD33B9"/>
    <w:rsid w:val="00AD4D46"/>
    <w:rsid w:val="00AD4EEC"/>
    <w:rsid w:val="00AE2655"/>
    <w:rsid w:val="00AE7D14"/>
    <w:rsid w:val="00AF1D7A"/>
    <w:rsid w:val="00B030A0"/>
    <w:rsid w:val="00B04E6D"/>
    <w:rsid w:val="00B0736B"/>
    <w:rsid w:val="00B07BCE"/>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1307"/>
    <w:rsid w:val="00C129EB"/>
    <w:rsid w:val="00C12BA8"/>
    <w:rsid w:val="00C161B9"/>
    <w:rsid w:val="00C16254"/>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458D"/>
    <w:rsid w:val="00C67EA5"/>
    <w:rsid w:val="00C71ACF"/>
    <w:rsid w:val="00C72296"/>
    <w:rsid w:val="00C73950"/>
    <w:rsid w:val="00C73EC7"/>
    <w:rsid w:val="00C74CD4"/>
    <w:rsid w:val="00C74D8C"/>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5B91"/>
    <w:rsid w:val="00CE7080"/>
    <w:rsid w:val="00CE775C"/>
    <w:rsid w:val="00CE7F03"/>
    <w:rsid w:val="00CF1702"/>
    <w:rsid w:val="00CF1763"/>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2FB7"/>
    <w:rsid w:val="00D347D1"/>
    <w:rsid w:val="00D36EC9"/>
    <w:rsid w:val="00D37571"/>
    <w:rsid w:val="00D407BA"/>
    <w:rsid w:val="00D44B02"/>
    <w:rsid w:val="00D450E4"/>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DE3"/>
    <w:rsid w:val="00DF6F84"/>
    <w:rsid w:val="00DF7EBA"/>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7088D"/>
    <w:rsid w:val="00E763B4"/>
    <w:rsid w:val="00E80349"/>
    <w:rsid w:val="00E80DA0"/>
    <w:rsid w:val="00E815AD"/>
    <w:rsid w:val="00E831CE"/>
    <w:rsid w:val="00E846C2"/>
    <w:rsid w:val="00E85BA4"/>
    <w:rsid w:val="00E86AFC"/>
    <w:rsid w:val="00E91B8D"/>
    <w:rsid w:val="00E92F62"/>
    <w:rsid w:val="00E9494F"/>
    <w:rsid w:val="00E95577"/>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3BEF"/>
    <w:rsid w:val="00F16863"/>
    <w:rsid w:val="00F16A5A"/>
    <w:rsid w:val="00F23F2F"/>
    <w:rsid w:val="00F30519"/>
    <w:rsid w:val="00F30745"/>
    <w:rsid w:val="00F3355E"/>
    <w:rsid w:val="00F33B9A"/>
    <w:rsid w:val="00F36873"/>
    <w:rsid w:val="00F3729D"/>
    <w:rsid w:val="00F448D5"/>
    <w:rsid w:val="00F44B06"/>
    <w:rsid w:val="00F5175B"/>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6BD0"/>
    <w:rsid w:val="00FA7C44"/>
    <w:rsid w:val="00FB050F"/>
    <w:rsid w:val="00FB2503"/>
    <w:rsid w:val="00FB4E39"/>
    <w:rsid w:val="00FB6846"/>
    <w:rsid w:val="00FC1C90"/>
    <w:rsid w:val="00FC284B"/>
    <w:rsid w:val="00FC3069"/>
    <w:rsid w:val="00FC60C9"/>
    <w:rsid w:val="00FC762A"/>
    <w:rsid w:val="00FC7CBB"/>
    <w:rsid w:val="00FD30B0"/>
    <w:rsid w:val="00FD44C5"/>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color="white">
      <v:fill color="white"/>
    </o:shapedefaults>
    <o:shapelayout v:ext="edit">
      <o:idmap v:ext="edit" data="1"/>
    </o:shapelayout>
  </w:shapeDefaults>
  <w:decimalSymbol w:val="."/>
  <w:listSeparator w:val=","/>
  <w14:docId w14:val="7F93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0"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character" w:styleId="CommentReference">
    <w:name w:val="annotation reference"/>
    <w:basedOn w:val="DefaultParagraphFont"/>
    <w:semiHidden/>
    <w:unhideWhenUsed/>
    <w:rsid w:val="00565D41"/>
    <w:rPr>
      <w:sz w:val="16"/>
      <w:szCs w:val="16"/>
    </w:rPr>
  </w:style>
  <w:style w:type="paragraph" w:customStyle="1" w:styleId="ATATableHeading">
    <w:name w:val="ATA Table Heading"/>
    <w:next w:val="ATABody"/>
    <w:link w:val="ATATableHeadingChar"/>
    <w:uiPriority w:val="34"/>
    <w:qFormat/>
    <w:rsid w:val="00246CBD"/>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246CBD"/>
    <w:rPr>
      <w:rFonts w:ascii="Cambria" w:hAnsi="Cambria"/>
      <w:color w:val="262626" w:themeColor="text1" w:themeTint="D9"/>
      <w:sz w:val="24"/>
      <w:szCs w:val="24"/>
    </w:rPr>
  </w:style>
  <w:style w:type="paragraph" w:customStyle="1" w:styleId="ATATableBody">
    <w:name w:val="ATA Table Body"/>
    <w:link w:val="ATATableBodyChar"/>
    <w:uiPriority w:val="34"/>
    <w:rsid w:val="00246CBD"/>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246CBD"/>
    <w:rPr>
      <w:rFonts w:ascii="Cambria" w:hAnsi="Cambria"/>
      <w:color w:val="262626" w:themeColor="text1" w:themeTint="D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0" w:unhideWhenUsed="0"/>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character" w:styleId="CommentReference">
    <w:name w:val="annotation reference"/>
    <w:basedOn w:val="DefaultParagraphFont"/>
    <w:semiHidden/>
    <w:unhideWhenUsed/>
    <w:rsid w:val="00565D41"/>
    <w:rPr>
      <w:sz w:val="16"/>
      <w:szCs w:val="16"/>
    </w:rPr>
  </w:style>
  <w:style w:type="paragraph" w:customStyle="1" w:styleId="ATATableHeading">
    <w:name w:val="ATA Table Heading"/>
    <w:next w:val="ATABody"/>
    <w:link w:val="ATATableHeadingChar"/>
    <w:uiPriority w:val="34"/>
    <w:qFormat/>
    <w:rsid w:val="00246CBD"/>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246CBD"/>
    <w:rPr>
      <w:rFonts w:ascii="Cambria" w:hAnsi="Cambria"/>
      <w:color w:val="262626" w:themeColor="text1" w:themeTint="D9"/>
      <w:sz w:val="24"/>
      <w:szCs w:val="24"/>
    </w:rPr>
  </w:style>
  <w:style w:type="paragraph" w:customStyle="1" w:styleId="ATATableBody">
    <w:name w:val="ATA Table Body"/>
    <w:link w:val="ATATableBodyChar"/>
    <w:uiPriority w:val="34"/>
    <w:rsid w:val="00246CBD"/>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246CBD"/>
    <w:rPr>
      <w:rFonts w:ascii="Cambria" w:hAnsi="Cambria"/>
      <w:color w:val="262626" w:themeColor="text1" w:themeTint="D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1E1BAE9F4A43A69E89A4F7A9F7B568"/>
        <w:category>
          <w:name w:val="General"/>
          <w:gallery w:val="placeholder"/>
        </w:category>
        <w:types>
          <w:type w:val="bbPlcHdr"/>
        </w:types>
        <w:behaviors>
          <w:behavior w:val="content"/>
        </w:behaviors>
        <w:guid w:val="{8F21BD05-A28C-46D7-B55D-D35510E99B39}"/>
      </w:docPartPr>
      <w:docPartBody>
        <w:p w:rsidR="00F51DB7" w:rsidRDefault="00365167" w:rsidP="00365167">
          <w:pPr>
            <w:pStyle w:val="191E1BAE9F4A43A69E89A4F7A9F7B568"/>
          </w:pPr>
          <w:r w:rsidRPr="00BF7CB4">
            <w:rPr>
              <w:rStyle w:val="PlaceholderText"/>
            </w:rPr>
            <w:t>[Title]</w:t>
          </w:r>
        </w:p>
      </w:docPartBody>
    </w:docPart>
    <w:docPart>
      <w:docPartPr>
        <w:name w:val="A3D18325DA2044A7B9C9D6E0202ADB5F"/>
        <w:category>
          <w:name w:val="General"/>
          <w:gallery w:val="placeholder"/>
        </w:category>
        <w:types>
          <w:type w:val="bbPlcHdr"/>
        </w:types>
        <w:behaviors>
          <w:behavior w:val="content"/>
        </w:behaviors>
        <w:guid w:val="{18F98617-F319-4089-B7ED-37E3B87D24CE}"/>
      </w:docPartPr>
      <w:docPartBody>
        <w:p w:rsidR="00F51DB7" w:rsidRDefault="00365167" w:rsidP="00365167">
          <w:pPr>
            <w:pStyle w:val="A3D18325DA2044A7B9C9D6E0202ADB5F"/>
          </w:pPr>
          <w:r w:rsidRPr="00BF7CB4">
            <w:rPr>
              <w:rStyle w:val="PlaceholderText"/>
            </w:rPr>
            <w:t>[Category]</w:t>
          </w:r>
        </w:p>
      </w:docPartBody>
    </w:docPart>
    <w:docPart>
      <w:docPartPr>
        <w:name w:val="B97551F226B045D8B18B5B3F1A4AC149"/>
        <w:category>
          <w:name w:val="General"/>
          <w:gallery w:val="placeholder"/>
        </w:category>
        <w:types>
          <w:type w:val="bbPlcHdr"/>
        </w:types>
        <w:behaviors>
          <w:behavior w:val="content"/>
        </w:behaviors>
        <w:guid w:val="{661DEA0C-966A-49E6-9522-C63C70BF6674}"/>
      </w:docPartPr>
      <w:docPartBody>
        <w:p w:rsidR="00065A64" w:rsidRDefault="000F466E">
          <w:r w:rsidRPr="003F234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2DE4"/>
    <w:rsid w:val="00064265"/>
    <w:rsid w:val="000657E1"/>
    <w:rsid w:val="00065A64"/>
    <w:rsid w:val="000F466E"/>
    <w:rsid w:val="00182BE3"/>
    <w:rsid w:val="00187056"/>
    <w:rsid w:val="001917CC"/>
    <w:rsid w:val="00273741"/>
    <w:rsid w:val="002C7C92"/>
    <w:rsid w:val="00305DB2"/>
    <w:rsid w:val="00365167"/>
    <w:rsid w:val="004A219D"/>
    <w:rsid w:val="00534BE0"/>
    <w:rsid w:val="006922F2"/>
    <w:rsid w:val="006E75D4"/>
    <w:rsid w:val="007934F0"/>
    <w:rsid w:val="009108B4"/>
    <w:rsid w:val="00945E6D"/>
    <w:rsid w:val="00A101E4"/>
    <w:rsid w:val="00A57331"/>
    <w:rsid w:val="00A92F25"/>
    <w:rsid w:val="00C572C3"/>
    <w:rsid w:val="00C72014"/>
    <w:rsid w:val="00E14394"/>
    <w:rsid w:val="00E3646B"/>
    <w:rsid w:val="00F51DB7"/>
    <w:rsid w:val="00FB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0F466E"/>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3158C-CCD9-449A-A15F-F010769B8475}">
  <ds:schemaRef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717C7DDE-0DFA-409A-A762-91103AABC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0</TotalTime>
  <Pages>2</Pages>
  <Words>526</Words>
  <Characters>2999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Module 8: Surveillance Awareness: What You Can Do</vt:lpstr>
    </vt:vector>
  </TitlesOfParts>
  <Company>Office of Antiterrorism Assistance</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8: Surveillance Awareness: What You Can Do</dc:title>
  <dc:subject>Critical Infrastructure Security and Resilience (CISR)</dc:subject>
  <dc:creator>ATA</dc:creator>
  <cp:lastModifiedBy>RobinsKL</cp:lastModifiedBy>
  <cp:revision>2</cp:revision>
  <cp:lastPrinted>2013-12-04T12:49:00Z</cp:lastPrinted>
  <dcterms:created xsi:type="dcterms:W3CDTF">2016-11-16T13:01:00Z</dcterms:created>
  <dcterms:modified xsi:type="dcterms:W3CDTF">2016-11-16T13:01:00Z</dcterms:modified>
  <cp:category>Addendum 8.2: Indicators of Hostile Surveillance Activities</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