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CA27D" w14:textId="56ECAB5B" w:rsidR="00EA6C03" w:rsidRPr="00590DB0" w:rsidRDefault="00BA7F91" w:rsidP="00EF1CA3">
      <w:pPr>
        <w:pStyle w:val="ATAModuleTitle"/>
        <w:jc w:val="left"/>
        <w:rPr>
          <w:rFonts w:asciiTheme="majorHAnsi" w:hAnsiTheme="majorHAnsi"/>
        </w:rPr>
      </w:pPr>
      <w:r>
        <w:rPr>
          <w:rFonts w:eastAsia="MS PGothic"/>
          <w:bCs/>
          <w:noProof/>
          <w:color w:val="262626" w:themeColor="text1" w:themeTint="D9"/>
        </w:rPr>
        <w:drawing>
          <wp:anchor distT="0" distB="0" distL="114300" distR="114300" simplePos="0" relativeHeight="251658240" behindDoc="0" locked="0" layoutInCell="1" allowOverlap="1" wp14:anchorId="25947718" wp14:editId="1D71167F">
            <wp:simplePos x="0" y="0"/>
            <wp:positionH relativeFrom="column">
              <wp:posOffset>5257800</wp:posOffset>
            </wp:positionH>
            <wp:positionV relativeFrom="paragraph">
              <wp:posOffset>-28575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C72" w:rsidRPr="00590DB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Workbook </w:t>
      </w:r>
      <w:bookmarkStart w:id="0" w:name="_GoBack"/>
      <w:bookmarkEnd w:id="0"/>
      <w:r w:rsidR="003025B4" w:rsidRPr="003025B4">
        <w:rPr>
          <w:rFonts w:asciiTheme="majorHAnsi" w:hAnsiTheme="majorHAnsi"/>
        </w:rPr>
        <w:t xml:space="preserve">12.2: </w:t>
      </w:r>
      <w:r w:rsidR="00EF1CA3">
        <w:rPr>
          <w:noProof/>
        </w:rPr>
        <w:t>Desirable Qualities in Security Force Personnel</w:t>
      </w:r>
      <w:r w:rsidR="00EF1CA3" w:rsidRPr="00590DB0">
        <w:rPr>
          <w:rFonts w:asciiTheme="majorHAnsi" w:hAnsiTheme="majorHAnsi"/>
          <w:b w:val="0"/>
          <w:noProof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BA509C" w14:paraId="42AF3C30" w14:textId="77777777" w:rsidTr="002A265C">
        <w:trPr>
          <w:cantSplit/>
        </w:trPr>
        <w:tc>
          <w:tcPr>
            <w:tcW w:w="1500" w:type="pct"/>
            <w:hideMark/>
          </w:tcPr>
          <w:p w14:paraId="22A924C8" w14:textId="77777777" w:rsidR="00BA509C" w:rsidRDefault="00BA509C" w:rsidP="002A265C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4DF4C826" w14:textId="581D7274" w:rsidR="00BA509C" w:rsidRDefault="00BA509C" w:rsidP="002B5414">
            <w:pPr>
              <w:pStyle w:val="ATABody"/>
            </w:pPr>
            <w:r>
              <w:t>To provide an example</w:t>
            </w:r>
            <w:r w:rsidR="00EF1CA3">
              <w:t>s of desirable qualities in security force personnel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6768"/>
      </w:tblGrid>
      <w:tr w:rsidR="00EF1CA3" w:rsidRPr="00EF1CA3" w14:paraId="1A8C7C03" w14:textId="77777777" w:rsidTr="00EF1CA3">
        <w:tc>
          <w:tcPr>
            <w:tcW w:w="2088" w:type="dxa"/>
            <w:shd w:val="clear" w:color="auto" w:fill="F2F2F2" w:themeFill="background1" w:themeFillShade="F2"/>
          </w:tcPr>
          <w:p w14:paraId="0D9057A6" w14:textId="1F9F321C" w:rsidR="00AA65BF" w:rsidRDefault="00AA65BF">
            <w:pPr>
              <w:rPr>
                <w:rFonts w:ascii="Cambria" w:eastAsia="MS PGothic" w:hAnsi="Cambria"/>
                <w:bCs/>
                <w:color w:val="262626" w:themeColor="text1" w:themeTint="D9"/>
              </w:rPr>
            </w:pPr>
          </w:p>
          <w:p w14:paraId="38BA2614" w14:textId="77777777" w:rsidR="00EF1CA3" w:rsidRPr="00EF1CA3" w:rsidRDefault="00EF1CA3" w:rsidP="00970566">
            <w:pPr>
              <w:pStyle w:val="ATABulletLevel02BodySlide"/>
              <w:keepNext/>
              <w:numPr>
                <w:ilvl w:val="0"/>
                <w:numId w:val="0"/>
              </w:numPr>
              <w:ind w:right="0"/>
              <w:rPr>
                <w:rStyle w:val="ATAEmphasis"/>
              </w:rPr>
            </w:pPr>
            <w:r w:rsidRPr="00EF1CA3">
              <w:rPr>
                <w:rStyle w:val="ATAEmphasis"/>
              </w:rPr>
              <w:t>Integrity and honesty</w:t>
            </w:r>
          </w:p>
        </w:tc>
        <w:tc>
          <w:tcPr>
            <w:tcW w:w="6768" w:type="dxa"/>
          </w:tcPr>
          <w:p w14:paraId="7CBCB6C3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A simple definition of integrity is doing the right thing, even when nobody is watching. </w:t>
            </w:r>
          </w:p>
          <w:p w14:paraId="475ED59B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This is especially important for a security force entrusted with protecting critical infrastructure. </w:t>
            </w:r>
          </w:p>
          <w:p w14:paraId="58539BCA" w14:textId="1A0FFC21" w:rsidR="00EF1CA3" w:rsidRPr="00EF1CA3" w:rsidRDefault="00EF1CA3" w:rsidP="002B5414">
            <w:pPr>
              <w:pStyle w:val="ATABulletLevel01BodySlide"/>
              <w:spacing w:before="40" w:after="40"/>
            </w:pPr>
            <w:r w:rsidRPr="00EF1CA3">
              <w:t>Ensuring the security force is honest, trustworthy, and has strong moral principles will lessen the chances that they can be swayed, bribed, or blackmailed into helping t</w:t>
            </w:r>
            <w:r w:rsidR="00EF3163">
              <w:t>errorists achieve their goals.</w:t>
            </w:r>
          </w:p>
        </w:tc>
      </w:tr>
      <w:tr w:rsidR="00EF1CA3" w:rsidRPr="00EF1CA3" w14:paraId="74DC9005" w14:textId="77777777" w:rsidTr="00EF1CA3">
        <w:tc>
          <w:tcPr>
            <w:tcW w:w="2088" w:type="dxa"/>
            <w:shd w:val="clear" w:color="auto" w:fill="F2F2F2" w:themeFill="background1" w:themeFillShade="F2"/>
          </w:tcPr>
          <w:p w14:paraId="1A7E3A96" w14:textId="77777777" w:rsidR="00EF1CA3" w:rsidRPr="00EF1CA3" w:rsidRDefault="00EF1CA3" w:rsidP="00970566">
            <w:pPr>
              <w:pStyle w:val="ATABulletLevel02BodySlide"/>
              <w:numPr>
                <w:ilvl w:val="0"/>
                <w:numId w:val="0"/>
              </w:numPr>
              <w:ind w:right="0"/>
              <w:rPr>
                <w:rStyle w:val="ATAEmphasis"/>
              </w:rPr>
            </w:pPr>
            <w:r w:rsidRPr="00EF1CA3">
              <w:rPr>
                <w:rStyle w:val="ATAEmphasis"/>
              </w:rPr>
              <w:t>Alertness</w:t>
            </w:r>
          </w:p>
        </w:tc>
        <w:tc>
          <w:tcPr>
            <w:tcW w:w="6768" w:type="dxa"/>
          </w:tcPr>
          <w:p w14:paraId="4B4BF3EC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Alertness, more than any other quality, determines the effectiveness of personnel assigned to security force duties. </w:t>
            </w:r>
          </w:p>
          <w:p w14:paraId="779A4882" w14:textId="3BD987B7" w:rsidR="00EF1CA3" w:rsidRPr="00EF1CA3" w:rsidRDefault="00EF1CA3" w:rsidP="002B5414">
            <w:pPr>
              <w:pStyle w:val="ATABulletLevel01BodySlide"/>
              <w:spacing w:before="40" w:after="40"/>
            </w:pPr>
            <w:r w:rsidRPr="00EF1CA3">
              <w:t>They must watch for deviations from the normal, such as a strange vehicle near their posts, a person approaching from an area not normally used, or nervousness in an approaching individual.</w:t>
            </w:r>
          </w:p>
        </w:tc>
      </w:tr>
      <w:tr w:rsidR="00EF1CA3" w:rsidRPr="00EF1CA3" w14:paraId="03A2181B" w14:textId="77777777" w:rsidTr="00EF1CA3">
        <w:tc>
          <w:tcPr>
            <w:tcW w:w="2088" w:type="dxa"/>
            <w:shd w:val="clear" w:color="auto" w:fill="F2F2F2" w:themeFill="background1" w:themeFillShade="F2"/>
          </w:tcPr>
          <w:p w14:paraId="4C8E0621" w14:textId="77777777" w:rsidR="00EF1CA3" w:rsidRPr="00EF1CA3" w:rsidRDefault="00EF1CA3" w:rsidP="00970566">
            <w:pPr>
              <w:pStyle w:val="ATABulletLevel02BodySlide"/>
              <w:numPr>
                <w:ilvl w:val="0"/>
                <w:numId w:val="0"/>
              </w:numPr>
              <w:ind w:right="0"/>
              <w:rPr>
                <w:rStyle w:val="ATAEmphasis"/>
              </w:rPr>
            </w:pPr>
            <w:r w:rsidRPr="00EF1CA3">
              <w:rPr>
                <w:rStyle w:val="ATAEmphasis"/>
              </w:rPr>
              <w:t>Judgment</w:t>
            </w:r>
          </w:p>
        </w:tc>
        <w:tc>
          <w:tcPr>
            <w:tcW w:w="6768" w:type="dxa"/>
          </w:tcPr>
          <w:p w14:paraId="23384F4C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Sound judgment is the ability to arrive at a wise decision. </w:t>
            </w:r>
          </w:p>
          <w:p w14:paraId="35D6C536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The process involves mental comparison of an unfamiliar situation with a similar situation of known values and relationships. </w:t>
            </w:r>
          </w:p>
          <w:p w14:paraId="5A4FF9AE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Experience provides knowledge, and knowledge must precede judgment. </w:t>
            </w:r>
          </w:p>
          <w:p w14:paraId="3AC8DC87" w14:textId="7B09B6CE" w:rsidR="002B5414" w:rsidRDefault="00EF1CA3" w:rsidP="00D050BE">
            <w:pPr>
              <w:pStyle w:val="ATABulletLevel01BodySlide"/>
              <w:spacing w:before="40" w:after="40"/>
            </w:pPr>
            <w:r w:rsidRPr="00EF1CA3">
              <w:t>Security force instructions cannot cover every situation</w:t>
            </w:r>
            <w:r w:rsidR="00C446D9">
              <w:t>; t</w:t>
            </w:r>
            <w:r w:rsidRPr="00EF1CA3">
              <w:t xml:space="preserve">hey can provide only fundamental guidelines. </w:t>
            </w:r>
          </w:p>
          <w:p w14:paraId="767C6210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>Because each situation is unique, each one requires individual consideration.</w:t>
            </w:r>
          </w:p>
          <w:p w14:paraId="7F8DF2A1" w14:textId="30820595" w:rsidR="00EF1CA3" w:rsidRPr="00EF1CA3" w:rsidRDefault="00EF1CA3" w:rsidP="002B5414">
            <w:pPr>
              <w:pStyle w:val="ATABulletLevel01BodySlide"/>
              <w:spacing w:before="40" w:after="40"/>
            </w:pPr>
            <w:r w:rsidRPr="00EF1CA3">
              <w:t>When in doubt, and if time allows, security force personnel should call for supervisory guidance concerning situations that are unfamiliar or critical.</w:t>
            </w:r>
          </w:p>
        </w:tc>
      </w:tr>
      <w:tr w:rsidR="00EF1CA3" w:rsidRPr="00EF1CA3" w14:paraId="6AF0CD5A" w14:textId="77777777" w:rsidTr="00EF1CA3">
        <w:tc>
          <w:tcPr>
            <w:tcW w:w="2088" w:type="dxa"/>
            <w:shd w:val="clear" w:color="auto" w:fill="F2F2F2" w:themeFill="background1" w:themeFillShade="F2"/>
          </w:tcPr>
          <w:p w14:paraId="7C8382D2" w14:textId="77777777" w:rsidR="00EF1CA3" w:rsidRPr="00EF1CA3" w:rsidRDefault="00EF1CA3" w:rsidP="00970566">
            <w:pPr>
              <w:pStyle w:val="ATABulletLevel02BodySlide"/>
              <w:numPr>
                <w:ilvl w:val="0"/>
                <w:numId w:val="0"/>
              </w:numPr>
              <w:ind w:right="0"/>
              <w:rPr>
                <w:rStyle w:val="ATAEmphasis"/>
              </w:rPr>
            </w:pPr>
            <w:r w:rsidRPr="00EF1CA3">
              <w:rPr>
                <w:rStyle w:val="ATAEmphasis"/>
              </w:rPr>
              <w:t>Confidence</w:t>
            </w:r>
          </w:p>
        </w:tc>
        <w:tc>
          <w:tcPr>
            <w:tcW w:w="6768" w:type="dxa"/>
          </w:tcPr>
          <w:p w14:paraId="071D0232" w14:textId="77777777" w:rsidR="002B5414" w:rsidRDefault="00EF1CA3" w:rsidP="002B5414">
            <w:pPr>
              <w:pStyle w:val="ATABulletLevel01BodySlide"/>
              <w:spacing w:before="40" w:after="40"/>
              <w:rPr>
                <w:rStyle w:val="ATABulletLevel03BodySlideChar"/>
              </w:rPr>
            </w:pPr>
            <w:r w:rsidRPr="00EF1CA3">
              <w:rPr>
                <w:rStyle w:val="ATABulletLevel03BodySlideChar"/>
              </w:rPr>
              <w:t xml:space="preserve">Confidence is learned, not inborn. </w:t>
            </w:r>
          </w:p>
          <w:p w14:paraId="6CB19EE4" w14:textId="77777777" w:rsidR="002B5414" w:rsidRDefault="00EF1CA3" w:rsidP="002B5414">
            <w:pPr>
              <w:pStyle w:val="ATABulletLevel01BodySlide"/>
              <w:spacing w:before="40" w:after="40"/>
              <w:rPr>
                <w:rStyle w:val="ATABulletLevel03BodySlideChar"/>
              </w:rPr>
            </w:pPr>
            <w:r w:rsidRPr="00EF1CA3">
              <w:rPr>
                <w:rStyle w:val="ATABulletLevel03BodySlideChar"/>
              </w:rPr>
              <w:t xml:space="preserve">Confidence is a state of feeling sure, a state of mind free from doubt or misgivings. </w:t>
            </w:r>
          </w:p>
          <w:p w14:paraId="5C3EA946" w14:textId="75296F29" w:rsidR="00EF1CA3" w:rsidRPr="00EF1CA3" w:rsidRDefault="00EF1CA3" w:rsidP="002B5414">
            <w:pPr>
              <w:pStyle w:val="ATABulletLevel01BodySlide"/>
              <w:spacing w:before="40" w:after="40"/>
            </w:pPr>
            <w:r w:rsidRPr="00EF1CA3">
              <w:rPr>
                <w:rStyle w:val="ATABulletLevel03BodySlideChar"/>
              </w:rPr>
              <w:t>Confidence includes faith in oneself and in one’s abilities. Job knowledge — knowing the right thing to do at the right time — is one of the best ways</w:t>
            </w:r>
            <w:r w:rsidRPr="00EF1CA3">
              <w:t xml:space="preserve"> to foster self-confidence in security force members.</w:t>
            </w:r>
          </w:p>
        </w:tc>
      </w:tr>
      <w:tr w:rsidR="00EF1CA3" w:rsidRPr="00EF1CA3" w14:paraId="58CD3F2D" w14:textId="77777777" w:rsidTr="002B5414">
        <w:trPr>
          <w:cantSplit/>
        </w:trPr>
        <w:tc>
          <w:tcPr>
            <w:tcW w:w="2088" w:type="dxa"/>
            <w:shd w:val="clear" w:color="auto" w:fill="F2F2F2" w:themeFill="background1" w:themeFillShade="F2"/>
          </w:tcPr>
          <w:p w14:paraId="3302D741" w14:textId="77777777" w:rsidR="00EF1CA3" w:rsidRPr="00EF1CA3" w:rsidRDefault="00EF1CA3" w:rsidP="00970566">
            <w:pPr>
              <w:pStyle w:val="ATABulletLevel02BodySlide"/>
              <w:numPr>
                <w:ilvl w:val="0"/>
                <w:numId w:val="0"/>
              </w:numPr>
              <w:ind w:right="0"/>
              <w:rPr>
                <w:rStyle w:val="ATAEmphasis"/>
              </w:rPr>
            </w:pPr>
            <w:r w:rsidRPr="00EF1CA3">
              <w:rPr>
                <w:rStyle w:val="ATAEmphasis"/>
              </w:rPr>
              <w:lastRenderedPageBreak/>
              <w:t>Physical fitness</w:t>
            </w:r>
          </w:p>
        </w:tc>
        <w:tc>
          <w:tcPr>
            <w:tcW w:w="6768" w:type="dxa"/>
          </w:tcPr>
          <w:p w14:paraId="519A6C1C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Security force duty is difficult and demanding. </w:t>
            </w:r>
          </w:p>
          <w:p w14:paraId="1E6EFEDF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The security of an installation or facility, and even the lives of persons assigned to security force duties, may depend upon the physical fitness of those involved. </w:t>
            </w:r>
          </w:p>
          <w:p w14:paraId="0F089F20" w14:textId="2334658A" w:rsidR="00EF1CA3" w:rsidRPr="00EF1CA3" w:rsidRDefault="00EF1CA3" w:rsidP="002B5414">
            <w:pPr>
              <w:pStyle w:val="ATABulletLevel01BodySlide"/>
              <w:spacing w:before="40" w:after="40"/>
            </w:pPr>
            <w:r w:rsidRPr="00EF1CA3">
              <w:t>Training in defensive techniques and in physical conditioning is essential.</w:t>
            </w:r>
          </w:p>
        </w:tc>
      </w:tr>
      <w:tr w:rsidR="00EF1CA3" w:rsidRPr="00EF1CA3" w14:paraId="20A19E34" w14:textId="77777777" w:rsidTr="00EF1CA3">
        <w:trPr>
          <w:cantSplit/>
        </w:trPr>
        <w:tc>
          <w:tcPr>
            <w:tcW w:w="2088" w:type="dxa"/>
            <w:shd w:val="clear" w:color="auto" w:fill="F2F2F2" w:themeFill="background1" w:themeFillShade="F2"/>
          </w:tcPr>
          <w:p w14:paraId="54FD9629" w14:textId="77777777" w:rsidR="00EF1CA3" w:rsidRPr="00EF1CA3" w:rsidRDefault="00EF1CA3" w:rsidP="00970566">
            <w:pPr>
              <w:pStyle w:val="ATABulletLevel02BodySlide"/>
              <w:numPr>
                <w:ilvl w:val="0"/>
                <w:numId w:val="0"/>
              </w:numPr>
              <w:ind w:right="0"/>
              <w:rPr>
                <w:rStyle w:val="ATAEmphasis"/>
              </w:rPr>
            </w:pPr>
            <w:r w:rsidRPr="00EF1CA3">
              <w:rPr>
                <w:rStyle w:val="ATAEmphasis"/>
              </w:rPr>
              <w:t>Tactfulness</w:t>
            </w:r>
          </w:p>
        </w:tc>
        <w:tc>
          <w:tcPr>
            <w:tcW w:w="6768" w:type="dxa"/>
          </w:tcPr>
          <w:p w14:paraId="2C281F46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The ability to deal with others without giving offense is a quality desired in security force personnel. </w:t>
            </w:r>
          </w:p>
          <w:p w14:paraId="51E83CE1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It is difficult to assume the authority and responsibilities of security force duty without consciously or subconsciously displaying a sense of superiority and overbearing manner. </w:t>
            </w:r>
          </w:p>
          <w:p w14:paraId="1F76838E" w14:textId="55746AEA" w:rsidR="00EF1CA3" w:rsidRPr="00EF1CA3" w:rsidRDefault="00EF1CA3" w:rsidP="002B5414">
            <w:pPr>
              <w:pStyle w:val="ATABulletLevel01BodySlide"/>
              <w:spacing w:before="40" w:after="40"/>
            </w:pPr>
            <w:r w:rsidRPr="00EF1CA3">
              <w:t>Security force personnel must be able to give instructions clearly and concisely, firmly and authoritatively, but without arrogance.</w:t>
            </w:r>
          </w:p>
        </w:tc>
      </w:tr>
      <w:tr w:rsidR="00EF1CA3" w:rsidRPr="00EF1CA3" w14:paraId="6CEC56D5" w14:textId="77777777" w:rsidTr="00EF1CA3">
        <w:tc>
          <w:tcPr>
            <w:tcW w:w="2088" w:type="dxa"/>
            <w:shd w:val="clear" w:color="auto" w:fill="F2F2F2" w:themeFill="background1" w:themeFillShade="F2"/>
          </w:tcPr>
          <w:p w14:paraId="733EEC88" w14:textId="0E2FB439" w:rsidR="00EF1CA3" w:rsidRPr="00EF1CA3" w:rsidRDefault="00343A6A" w:rsidP="00970566">
            <w:pPr>
              <w:pStyle w:val="ATABulletLevel02BodySlide"/>
              <w:numPr>
                <w:ilvl w:val="0"/>
                <w:numId w:val="0"/>
              </w:numPr>
              <w:ind w:right="0"/>
              <w:rPr>
                <w:rStyle w:val="ATAEmphasis"/>
              </w:rPr>
            </w:pPr>
            <w:r>
              <w:rPr>
                <w:rStyle w:val="ATAEmphasis"/>
              </w:rPr>
              <w:t>Self-c</w:t>
            </w:r>
            <w:r w:rsidR="00EF1CA3" w:rsidRPr="00EF1CA3">
              <w:rPr>
                <w:rStyle w:val="ATAEmphasis"/>
              </w:rPr>
              <w:t xml:space="preserve">ontrol </w:t>
            </w:r>
          </w:p>
        </w:tc>
        <w:tc>
          <w:tcPr>
            <w:tcW w:w="6768" w:type="dxa"/>
          </w:tcPr>
          <w:p w14:paraId="6E36716A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Security force duty presents situations that require not only sound judgment and tact, but also self-control. </w:t>
            </w:r>
          </w:p>
          <w:p w14:paraId="469A73A8" w14:textId="77777777" w:rsidR="002B5414" w:rsidRDefault="00EF1CA3" w:rsidP="002B5414">
            <w:pPr>
              <w:pStyle w:val="ATABulletLevel01BodySlide"/>
              <w:spacing w:before="40" w:after="40"/>
            </w:pPr>
            <w:r w:rsidRPr="00EF1CA3">
              <w:t xml:space="preserve">When an individual is offensive, security force personnel must be impersonal in their responses. </w:t>
            </w:r>
          </w:p>
          <w:p w14:paraId="50050DB9" w14:textId="2E53E014" w:rsidR="00EF1CA3" w:rsidRPr="00EF1CA3" w:rsidRDefault="00EF1CA3" w:rsidP="002B5414">
            <w:pPr>
              <w:pStyle w:val="ATABulletLevel01BodySlide"/>
              <w:spacing w:before="40" w:after="40"/>
            </w:pPr>
            <w:r w:rsidRPr="00EF1CA3">
              <w:t>Otherwise, the security force personnel might lose control of their temper and of the situation.</w:t>
            </w:r>
          </w:p>
        </w:tc>
      </w:tr>
    </w:tbl>
    <w:p w14:paraId="5D9E9733" w14:textId="77777777" w:rsidR="00AA65BF" w:rsidRDefault="00AA65BF" w:rsidP="00DD735C">
      <w:pPr>
        <w:pStyle w:val="ATABulletLevel01BodySlide"/>
        <w:numPr>
          <w:ilvl w:val="0"/>
          <w:numId w:val="0"/>
        </w:numPr>
        <w:ind w:left="72"/>
      </w:pPr>
    </w:p>
    <w:p w14:paraId="281B57A5" w14:textId="77777777" w:rsidR="00AA65BF" w:rsidRDefault="00AA65BF" w:rsidP="00DD735C">
      <w:pPr>
        <w:pStyle w:val="ATABulletLevel01BodySlide"/>
        <w:numPr>
          <w:ilvl w:val="0"/>
          <w:numId w:val="0"/>
        </w:numPr>
        <w:ind w:left="72"/>
      </w:pPr>
    </w:p>
    <w:p w14:paraId="3BFE1FCC" w14:textId="77777777" w:rsidR="00AA65BF" w:rsidRDefault="00AA65BF" w:rsidP="00DD735C">
      <w:pPr>
        <w:pStyle w:val="ATABulletLevel01BodySlide"/>
        <w:numPr>
          <w:ilvl w:val="0"/>
          <w:numId w:val="0"/>
        </w:numPr>
        <w:ind w:left="72"/>
      </w:pPr>
    </w:p>
    <w:p w14:paraId="1F169A32" w14:textId="77777777" w:rsidR="00AA65BF" w:rsidRDefault="00AA65BF" w:rsidP="00DD735C">
      <w:pPr>
        <w:pStyle w:val="ATABulletLevel01BodySlide"/>
        <w:numPr>
          <w:ilvl w:val="0"/>
          <w:numId w:val="0"/>
        </w:numPr>
        <w:ind w:left="72"/>
      </w:pPr>
    </w:p>
    <w:p w14:paraId="412635C6" w14:textId="77777777" w:rsidR="00AA65BF" w:rsidRDefault="00AA65BF" w:rsidP="00DD735C">
      <w:pPr>
        <w:pStyle w:val="ATABulletLevel01BodySlide"/>
        <w:numPr>
          <w:ilvl w:val="0"/>
          <w:numId w:val="0"/>
        </w:numPr>
        <w:ind w:left="72"/>
      </w:pPr>
    </w:p>
    <w:sectPr w:rsidR="00AA65BF" w:rsidSect="00C644D9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5F68C" w14:textId="77777777" w:rsidR="00983FE3" w:rsidRDefault="00983FE3" w:rsidP="00C82114">
      <w:r>
        <w:separator/>
      </w:r>
    </w:p>
  </w:endnote>
  <w:endnote w:type="continuationSeparator" w:id="0">
    <w:p w14:paraId="6254028A" w14:textId="77777777" w:rsidR="00983FE3" w:rsidRDefault="00983FE3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1FDCA2B4" w14:textId="77777777" w:rsidTr="00F16863">
      <w:tc>
        <w:tcPr>
          <w:tcW w:w="8100" w:type="dxa"/>
          <w:shd w:val="clear" w:color="auto" w:fill="auto"/>
        </w:tcPr>
        <w:p w14:paraId="1FDCA2B2" w14:textId="77777777" w:rsidR="00C305B2" w:rsidRPr="008B2B7F" w:rsidRDefault="00BA7F91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1FDCA2B3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A7F91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A7F91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1FDCA2B6" w14:textId="1715943C" w:rsidR="008E31C0" w:rsidRPr="0061394B" w:rsidRDefault="008564F0" w:rsidP="0061394B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A1CC1" w14:textId="77777777" w:rsidR="00983FE3" w:rsidRDefault="00983FE3" w:rsidP="00C82114">
      <w:r>
        <w:separator/>
      </w:r>
    </w:p>
  </w:footnote>
  <w:footnote w:type="continuationSeparator" w:id="0">
    <w:p w14:paraId="032302F9" w14:textId="77777777" w:rsidR="00983FE3" w:rsidRDefault="00983FE3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9"/>
      <w:gridCol w:w="4321"/>
    </w:tblGrid>
    <w:tr w:rsidR="00F06D38" w:rsidRPr="00456B51" w14:paraId="1FDCA2B0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FDCA2AE" w14:textId="77777777" w:rsidR="008564F0" w:rsidRPr="00456B51" w:rsidRDefault="00F16234" w:rsidP="00590DB0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590DB0">
                <w:rPr>
                  <w:rFonts w:cs="Arial"/>
                </w:rPr>
                <w:t>2</w:t>
              </w:r>
              <w:r w:rsidRPr="00F16234">
                <w:rPr>
                  <w:rFonts w:cs="Arial"/>
                </w:rPr>
                <w:t xml:space="preserve">: </w:t>
              </w:r>
              <w:r w:rsidR="00590DB0">
                <w:rPr>
                  <w:rFonts w:cs="Arial"/>
                </w:rPr>
                <w:t>Security Force Operations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rPr>
              <w:noProof/>
            </w:r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FDCA2AF" w14:textId="6685251C" w:rsidR="008564F0" w:rsidRPr="00456B51" w:rsidRDefault="00BA7F91" w:rsidP="00BA7F91">
              <w:pPr>
                <w:pStyle w:val="ATAHeader"/>
                <w:ind w:right="90"/>
                <w:jc w:val="right"/>
              </w:pPr>
              <w:r>
                <w:rPr>
                  <w:noProof/>
                </w:rPr>
                <w:t>Workbook</w:t>
              </w:r>
              <w:r w:rsidR="00EF1CA3">
                <w:rPr>
                  <w:noProof/>
                </w:rPr>
                <w:t xml:space="preserve"> 12.2: Desirable Qualities in Security Force Personnel</w:t>
              </w:r>
            </w:p>
          </w:sdtContent>
        </w:sdt>
      </w:tc>
    </w:tr>
  </w:tbl>
  <w:p w14:paraId="1FDCA2B1" w14:textId="77777777" w:rsidR="008E31C0" w:rsidRDefault="008E31C0" w:rsidP="00B96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357F0"/>
    <w:multiLevelType w:val="hybridMultilevel"/>
    <w:tmpl w:val="9FA88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92697F"/>
    <w:multiLevelType w:val="hybridMultilevel"/>
    <w:tmpl w:val="1940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>
    <w:nsid w:val="438E5B99"/>
    <w:multiLevelType w:val="hybridMultilevel"/>
    <w:tmpl w:val="8E30579E"/>
    <w:lvl w:ilvl="0" w:tplc="0ECE35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1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19"/>
  </w:num>
  <w:num w:numId="11">
    <w:abstractNumId w:val="20"/>
  </w:num>
  <w:num w:numId="12">
    <w:abstractNumId w:val="20"/>
  </w:num>
  <w:num w:numId="13">
    <w:abstractNumId w:val="14"/>
  </w:num>
  <w:num w:numId="14">
    <w:abstractNumId w:val="28"/>
  </w:num>
  <w:num w:numId="15">
    <w:abstractNumId w:val="16"/>
  </w:num>
  <w:num w:numId="16">
    <w:abstractNumId w:val="29"/>
  </w:num>
  <w:num w:numId="17">
    <w:abstractNumId w:val="29"/>
    <w:lvlOverride w:ilvl="0">
      <w:startOverride w:val="1"/>
    </w:lvlOverride>
  </w:num>
  <w:num w:numId="18">
    <w:abstractNumId w:val="28"/>
  </w:num>
  <w:num w:numId="19">
    <w:abstractNumId w:val="6"/>
  </w:num>
  <w:num w:numId="20">
    <w:abstractNumId w:val="29"/>
  </w:num>
  <w:num w:numId="21">
    <w:abstractNumId w:val="1"/>
  </w:num>
  <w:num w:numId="22">
    <w:abstractNumId w:val="18"/>
  </w:num>
  <w:num w:numId="23">
    <w:abstractNumId w:val="21"/>
  </w:num>
  <w:num w:numId="24">
    <w:abstractNumId w:val="17"/>
  </w:num>
  <w:num w:numId="25">
    <w:abstractNumId w:val="26"/>
  </w:num>
  <w:num w:numId="26">
    <w:abstractNumId w:val="30"/>
  </w:num>
  <w:num w:numId="27">
    <w:abstractNumId w:val="3"/>
  </w:num>
  <w:num w:numId="28">
    <w:abstractNumId w:val="23"/>
  </w:num>
  <w:num w:numId="29">
    <w:abstractNumId w:val="22"/>
  </w:num>
  <w:num w:numId="30">
    <w:abstractNumId w:val="22"/>
    <w:lvlOverride w:ilvl="0">
      <w:startOverride w:val="1"/>
    </w:lvlOverride>
  </w:num>
  <w:num w:numId="31">
    <w:abstractNumId w:val="22"/>
  </w:num>
  <w:num w:numId="32">
    <w:abstractNumId w:val="2"/>
  </w:num>
  <w:num w:numId="33">
    <w:abstractNumId w:val="25"/>
  </w:num>
  <w:num w:numId="34">
    <w:abstractNumId w:val="4"/>
  </w:num>
  <w:num w:numId="35">
    <w:abstractNumId w:val="27"/>
  </w:num>
  <w:num w:numId="36">
    <w:abstractNumId w:val="15"/>
  </w:num>
  <w:num w:numId="37">
    <w:abstractNumId w:val="5"/>
  </w:num>
  <w:num w:numId="38">
    <w:abstractNumId w:val="24"/>
  </w:num>
  <w:num w:numId="3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631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3FD5"/>
    <w:rsid w:val="0018406E"/>
    <w:rsid w:val="00184648"/>
    <w:rsid w:val="0018492C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6AC"/>
    <w:rsid w:val="002A7E7C"/>
    <w:rsid w:val="002B17F0"/>
    <w:rsid w:val="002B3A35"/>
    <w:rsid w:val="002B3D5A"/>
    <w:rsid w:val="002B4783"/>
    <w:rsid w:val="002B4DE1"/>
    <w:rsid w:val="002B4F53"/>
    <w:rsid w:val="002B5414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5B4"/>
    <w:rsid w:val="00302ACC"/>
    <w:rsid w:val="00303B04"/>
    <w:rsid w:val="00311AB8"/>
    <w:rsid w:val="00312331"/>
    <w:rsid w:val="00312DCB"/>
    <w:rsid w:val="0031631B"/>
    <w:rsid w:val="00324284"/>
    <w:rsid w:val="00327D9F"/>
    <w:rsid w:val="0033389E"/>
    <w:rsid w:val="003346A0"/>
    <w:rsid w:val="00334CC0"/>
    <w:rsid w:val="00337385"/>
    <w:rsid w:val="0034112C"/>
    <w:rsid w:val="0034270A"/>
    <w:rsid w:val="00343A6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41EA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3F02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000B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0DB0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394B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A48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03A3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0506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83FE3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89A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3E7C"/>
    <w:rsid w:val="009E74EF"/>
    <w:rsid w:val="009F030F"/>
    <w:rsid w:val="009F03E8"/>
    <w:rsid w:val="009F3154"/>
    <w:rsid w:val="009F6D1B"/>
    <w:rsid w:val="009F7DCB"/>
    <w:rsid w:val="00A00B55"/>
    <w:rsid w:val="00A0273C"/>
    <w:rsid w:val="00A03F4E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008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BF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AF7322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62A0"/>
    <w:rsid w:val="00BA2EA6"/>
    <w:rsid w:val="00BA31E4"/>
    <w:rsid w:val="00BA40AF"/>
    <w:rsid w:val="00BA4668"/>
    <w:rsid w:val="00BA509C"/>
    <w:rsid w:val="00BA7F91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2B2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46D9"/>
    <w:rsid w:val="00C4724E"/>
    <w:rsid w:val="00C472F0"/>
    <w:rsid w:val="00C47F55"/>
    <w:rsid w:val="00C47FB5"/>
    <w:rsid w:val="00C52250"/>
    <w:rsid w:val="00C5225A"/>
    <w:rsid w:val="00C5458D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1215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0AE1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D735C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23B8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22A6"/>
    <w:rsid w:val="00E763B4"/>
    <w:rsid w:val="00E80349"/>
    <w:rsid w:val="00E80DA0"/>
    <w:rsid w:val="00E815AD"/>
    <w:rsid w:val="00E831CE"/>
    <w:rsid w:val="00E846C2"/>
    <w:rsid w:val="00E85BA4"/>
    <w:rsid w:val="00E86AFC"/>
    <w:rsid w:val="00E87588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6C03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4A3E"/>
    <w:rsid w:val="00ED6DE1"/>
    <w:rsid w:val="00EE590A"/>
    <w:rsid w:val="00EE65FC"/>
    <w:rsid w:val="00EE7DFC"/>
    <w:rsid w:val="00EF1CA3"/>
    <w:rsid w:val="00EF1CB7"/>
    <w:rsid w:val="00EF2D38"/>
    <w:rsid w:val="00EF3163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D38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35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1FDCA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4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34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9E3E7C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9E3E7C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AA65BF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AA65BF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34"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61394B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61394B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61394B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1394B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61394B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uiPriority w:val="34"/>
    <w:semiHidden/>
    <w:unhideWhenUsed/>
    <w:rsid w:val="00C122B2"/>
    <w:rPr>
      <w:sz w:val="16"/>
      <w:szCs w:val="16"/>
    </w:rPr>
  </w:style>
  <w:style w:type="paragraph" w:customStyle="1" w:styleId="ATABulletLevel03BodySlide">
    <w:name w:val="ATA  Bullet Level 03 Body/Slide"/>
    <w:basedOn w:val="ATABulletLevel01BodySlide"/>
    <w:link w:val="ATABulletLevel03BodySlideChar"/>
    <w:uiPriority w:val="7"/>
    <w:qFormat/>
    <w:rsid w:val="00EF1CA3"/>
    <w:pPr>
      <w:numPr>
        <w:numId w:val="38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EF1CA3"/>
    <w:rPr>
      <w:rFonts w:ascii="Cambria" w:hAnsi="Cambria"/>
      <w:color w:val="262626" w:themeColor="text1" w:themeTint="D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4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34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9E3E7C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9E3E7C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AA65BF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AA65BF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34"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61394B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61394B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61394B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1394B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61394B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uiPriority w:val="34"/>
    <w:semiHidden/>
    <w:unhideWhenUsed/>
    <w:rsid w:val="00C122B2"/>
    <w:rPr>
      <w:sz w:val="16"/>
      <w:szCs w:val="16"/>
    </w:rPr>
  </w:style>
  <w:style w:type="paragraph" w:customStyle="1" w:styleId="ATABulletLevel03BodySlide">
    <w:name w:val="ATA  Bullet Level 03 Body/Slide"/>
    <w:basedOn w:val="ATABulletLevel01BodySlide"/>
    <w:link w:val="ATABulletLevel03BodySlideChar"/>
    <w:uiPriority w:val="7"/>
    <w:qFormat/>
    <w:rsid w:val="00EF1CA3"/>
    <w:pPr>
      <w:numPr>
        <w:numId w:val="38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EF1CA3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A6660"/>
    <w:rsid w:val="002C7C92"/>
    <w:rsid w:val="00305DB2"/>
    <w:rsid w:val="00365167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907340"/>
    <w:rsid w:val="009108B4"/>
    <w:rsid w:val="00945E6D"/>
    <w:rsid w:val="00950D2F"/>
    <w:rsid w:val="00A101E4"/>
    <w:rsid w:val="00A57331"/>
    <w:rsid w:val="00A92F25"/>
    <w:rsid w:val="00B14E88"/>
    <w:rsid w:val="00B15182"/>
    <w:rsid w:val="00B82FBB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12CF8"/>
    <w:rsid w:val="00F51DB7"/>
    <w:rsid w:val="00FB533D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8AEE1-5C4D-4C78-BCD7-B27B3F012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294850-6CDF-494D-A9EE-E0761BB8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2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12: Security Force Operations</vt:lpstr>
    </vt:vector>
  </TitlesOfParts>
  <Company>Office of Antiterrorism Assistance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12: Security Force Operations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2016-11-16T17:18:00Z</dcterms:created>
  <dcterms:modified xsi:type="dcterms:W3CDTF">2016-11-16T17:18:00Z</dcterms:modified>
  <cp:category>Workbook 12.2: Desirable Qualities in Security Force Personnel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